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709" w:leader="none"/>
        </w:tabs>
        <w:spacing w:lineRule="auto" w:line="259" w:before="0" w:after="120"/>
        <w:ind w:right="-271"/>
        <w:jc w:val="both"/>
        <w:rPr>
          <w:rFonts w:ascii="Segoe UI" w:hAnsi="Segoe UI" w:eastAsia="Arial" w:cs="Segoe UI"/>
          <w:b/>
          <w:color w:val="000000"/>
          <w:sz w:val="20"/>
          <w:szCs w:val="20"/>
        </w:rPr>
      </w:pPr>
      <w:r>
        <w:rPr>
          <w:rFonts w:eastAsia="Arial" w:cs="Segoe UI" w:ascii="Segoe UI" w:hAnsi="Segoe UI"/>
          <w:b/>
          <w:color w:val="000000"/>
          <w:sz w:val="20"/>
          <w:szCs w:val="20"/>
        </w:rPr>
        <w:t xml:space="preserve">Processo nº </w:t>
      </w:r>
      <w:r>
        <w:rPr>
          <w:rFonts w:eastAsia="Arial" w:cs="Segoe UI" w:ascii="Segoe UI" w:hAnsi="Segoe UI"/>
          <w:b/>
          <w:color w:val="000000"/>
          <w:sz w:val="20"/>
          <w:szCs w:val="20"/>
        </w:rPr>
        <w:t>743</w:t>
      </w:r>
      <w:r>
        <w:rPr>
          <w:rFonts w:eastAsia="Arial" w:cs="Segoe UI" w:ascii="Segoe UI" w:hAnsi="Segoe UI"/>
          <w:b/>
          <w:color w:val="000000"/>
          <w:sz w:val="20"/>
          <w:szCs w:val="20"/>
        </w:rPr>
        <w:t>/2025</w:t>
      </w:r>
    </w:p>
    <w:p>
      <w:pPr>
        <w:pStyle w:val="Normal"/>
        <w:tabs>
          <w:tab w:val="clear" w:pos="720"/>
          <w:tab w:val="left" w:pos="709" w:leader="none"/>
        </w:tabs>
        <w:spacing w:lineRule="auto" w:line="259" w:before="0" w:after="120"/>
        <w:ind w:right="-271"/>
        <w:jc w:val="center"/>
        <w:rPr>
          <w:rFonts w:ascii="Segoe UI" w:hAnsi="Segoe UI" w:eastAsia="Arial" w:cs="Segoe UI"/>
          <w:b/>
          <w:sz w:val="20"/>
          <w:szCs w:val="20"/>
        </w:rPr>
      </w:pPr>
      <w:r>
        <w:rPr>
          <w:rFonts w:eastAsia="Arial" w:cs="Segoe UI" w:ascii="Segoe UI" w:hAnsi="Segoe UI"/>
          <w:b/>
          <w:sz w:val="20"/>
          <w:szCs w:val="20"/>
        </w:rPr>
        <w:t>TERMO DE REFERÊNCIA</w:t>
      </w:r>
    </w:p>
    <w:p>
      <w:pPr>
        <w:pStyle w:val="Normal"/>
        <w:numPr>
          <w:ilvl w:val="0"/>
          <w:numId w:val="1"/>
        </w:numPr>
        <w:tabs>
          <w:tab w:val="clear" w:pos="720"/>
          <w:tab w:val="left" w:pos="490" w:leader="none"/>
          <w:tab w:val="left" w:pos="709" w:leader="none"/>
        </w:tabs>
        <w:spacing w:lineRule="auto" w:line="259" w:before="0" w:after="120"/>
        <w:ind w:hanging="0" w:left="0"/>
        <w:jc w:val="both"/>
        <w:rPr>
          <w:rFonts w:ascii="Segoe UI" w:hAnsi="Segoe UI" w:cs="Segoe UI"/>
          <w:color w:val="000000"/>
          <w:sz w:val="20"/>
          <w:szCs w:val="20"/>
        </w:rPr>
      </w:pPr>
      <w:r>
        <w:rPr>
          <w:rFonts w:eastAsia="Arial" w:cs="Segoe UI" w:ascii="Segoe UI" w:hAnsi="Segoe UI"/>
          <w:b/>
          <w:color w:val="000000"/>
          <w:sz w:val="20"/>
          <w:szCs w:val="20"/>
        </w:rPr>
        <w:t>DO OBJETO</w:t>
      </w:r>
    </w:p>
    <w:p>
      <w:pPr>
        <w:pStyle w:val="Normal"/>
        <w:tabs>
          <w:tab w:val="clear" w:pos="720"/>
          <w:tab w:val="left" w:pos="709" w:leader="none"/>
          <w:tab w:val="left" w:pos="850" w:leader="none"/>
        </w:tabs>
        <w:spacing w:lineRule="auto" w:line="259" w:before="0" w:after="120"/>
        <w:ind w:right="215"/>
        <w:jc w:val="both"/>
        <w:rPr>
          <w:rFonts w:ascii="Segoe UI" w:hAnsi="Segoe UI" w:eastAsia="Arial" w:cs="Segoe UI"/>
          <w:color w:val="000000"/>
          <w:sz w:val="20"/>
          <w:szCs w:val="20"/>
        </w:rPr>
      </w:pPr>
      <w:r>
        <w:rPr>
          <w:rFonts w:eastAsia="Arial" w:cs="Segoe UI" w:ascii="Segoe UI" w:hAnsi="Segoe UI"/>
          <w:color w:val="000000"/>
          <w:sz w:val="20"/>
          <w:szCs w:val="20"/>
        </w:rPr>
        <w:t>1.1 Aquisição dos materiais relacionados na tabela contante do item 16 deste termo</w:t>
      </w:r>
      <w:r>
        <w:rPr>
          <w:rFonts w:eastAsia="Arial" w:cs="Segoe UI" w:ascii="Segoe UI" w:hAnsi="Segoe UI"/>
          <w:b/>
          <w:color w:val="000000"/>
          <w:sz w:val="20"/>
          <w:szCs w:val="20"/>
        </w:rPr>
        <w:t xml:space="preserve">, </w:t>
      </w:r>
      <w:r>
        <w:rPr>
          <w:rFonts w:eastAsia="Arial" w:cs="Segoe UI" w:ascii="Segoe UI" w:hAnsi="Segoe UI"/>
          <w:color w:val="000000"/>
          <w:sz w:val="20"/>
          <w:szCs w:val="20"/>
        </w:rPr>
        <w:t>conforme condições, quantidades e exigências estabelecidas neste instrumento.</w:t>
      </w:r>
    </w:p>
    <w:p>
      <w:pPr>
        <w:pStyle w:val="Normal"/>
        <w:tabs>
          <w:tab w:val="clear" w:pos="720"/>
          <w:tab w:val="left" w:pos="709" w:leader="none"/>
          <w:tab w:val="left" w:pos="850" w:leader="none"/>
        </w:tabs>
        <w:spacing w:lineRule="auto" w:line="259" w:before="0" w:after="120"/>
        <w:ind w:right="215"/>
        <w:jc w:val="both"/>
        <w:rPr>
          <w:rFonts w:ascii="Segoe UI" w:hAnsi="Segoe UI" w:eastAsia="Calibri" w:cs="Segoe UI"/>
          <w:sz w:val="20"/>
          <w:szCs w:val="20"/>
        </w:rPr>
      </w:pPr>
      <w:r>
        <w:rPr>
          <w:rFonts w:eastAsia="Calibri" w:cs="Segoe UI" w:ascii="Segoe UI" w:hAnsi="Segoe UI"/>
          <w:sz w:val="20"/>
          <w:szCs w:val="20"/>
        </w:rPr>
        <w:t>1.2 Os elementos técnicos descritos neste Termo de Referência são os mínimos necessários para assegurar que a aquisição se dê de forma satisfatória, com as mínimas condições técnicas e de qualidade exigidas e, ainda, assegurar o gasto racional dos recursos públicos.</w:t>
      </w:r>
    </w:p>
    <w:tbl>
      <w:tblPr>
        <w:tblW w:w="10035" w:type="dxa"/>
        <w:jc w:val="left"/>
        <w:tblInd w:w="14" w:type="dxa"/>
        <w:tblLayout w:type="fixed"/>
        <w:tblCellMar>
          <w:top w:w="0" w:type="dxa"/>
          <w:left w:w="108" w:type="dxa"/>
          <w:bottom w:w="0" w:type="dxa"/>
          <w:right w:w="108" w:type="dxa"/>
        </w:tblCellMar>
        <w:tblLook w:firstRow="0" w:noVBand="0" w:lastRow="0" w:firstColumn="0" w:lastColumn="0" w:noHBand="0" w:val="0000"/>
      </w:tblPr>
      <w:tblGrid>
        <w:gridCol w:w="10035"/>
      </w:tblGrid>
      <w:tr>
        <w:trPr>
          <w:trHeight w:val="20" w:hRule="atLeast"/>
        </w:trPr>
        <w:tc>
          <w:tcPr>
            <w:tcW w:w="10035" w:type="dxa"/>
            <w:tcBorders>
              <w:top w:val="single" w:sz="12" w:space="0" w:color="000000"/>
              <w:left w:val="single" w:sz="12" w:space="0" w:color="000000"/>
              <w:bottom w:val="single" w:sz="12" w:space="0" w:color="000000"/>
              <w:right w:val="single" w:sz="12" w:space="0" w:color="000000"/>
            </w:tcBorders>
            <w:shd w:color="auto" w:fill="CCCCCC" w:val="clear"/>
            <w:vAlign w:val="center"/>
          </w:tcPr>
          <w:p>
            <w:pPr>
              <w:pStyle w:val="Normal"/>
              <w:tabs>
                <w:tab w:val="clear" w:pos="720"/>
                <w:tab w:val="left" w:pos="709" w:leader="none"/>
              </w:tabs>
              <w:ind w:right="-17"/>
              <w:jc w:val="center"/>
              <w:rPr>
                <w:rFonts w:ascii="Segoe UI" w:hAnsi="Segoe UI" w:eastAsia="Arial" w:cs="Segoe UI"/>
                <w:b/>
                <w:color w:val="000000"/>
                <w:sz w:val="20"/>
                <w:szCs w:val="20"/>
              </w:rPr>
            </w:pPr>
            <w:r>
              <w:rPr>
                <w:rFonts w:eastAsia="Arial" w:cs="Segoe UI" w:ascii="Segoe UI" w:hAnsi="Segoe UI"/>
                <w:b/>
                <w:color w:val="000000"/>
                <w:sz w:val="20"/>
                <w:szCs w:val="20"/>
              </w:rPr>
              <w:t>DESCRIÇÃO / ESPECIFICAÇÃO</w:t>
            </w:r>
          </w:p>
        </w:tc>
      </w:tr>
      <w:tr>
        <w:trPr>
          <w:trHeight w:val="20" w:hRule="atLeast"/>
        </w:trPr>
        <w:tc>
          <w:tcPr>
            <w:tcW w:w="10035" w:type="dxa"/>
            <w:tcBorders>
              <w:top w:val="single" w:sz="12" w:space="0" w:color="000000"/>
              <w:left w:val="single" w:sz="12" w:space="0" w:color="000000"/>
              <w:bottom w:val="single" w:sz="12" w:space="0" w:color="000000"/>
              <w:right w:val="single" w:sz="12" w:space="0" w:color="000000"/>
            </w:tcBorders>
            <w:vAlign w:val="center"/>
          </w:tcPr>
          <w:p>
            <w:pPr>
              <w:pStyle w:val="Normal"/>
              <w:jc w:val="both"/>
              <w:rPr>
                <w:rFonts w:ascii="Segoe UI" w:hAnsi="Segoe UI" w:cs="Segoe UI"/>
              </w:rPr>
            </w:pPr>
            <w:r>
              <w:rPr>
                <w:rFonts w:eastAsia="Arial" w:cs="Segoe UI" w:ascii="Segoe UI" w:hAnsi="Segoe UI"/>
                <w:caps/>
                <w:color w:val="000000"/>
                <w:sz w:val="20"/>
                <w:szCs w:val="20"/>
              </w:rPr>
              <w:t>contratação de empresa especializada no fornecimento parcelado de materiais de copa e cozinha, visando atender as necessidades da Câmara Municipal de Guarapari no decorrer do exercício de 2025.</w:t>
            </w:r>
          </w:p>
        </w:tc>
      </w:tr>
    </w:tbl>
    <w:p>
      <w:pPr>
        <w:pStyle w:val="Normal"/>
        <w:tabs>
          <w:tab w:val="clear" w:pos="720"/>
          <w:tab w:val="left" w:pos="709" w:leader="none"/>
        </w:tabs>
        <w:spacing w:lineRule="auto" w:line="259" w:before="0" w:after="120"/>
        <w:rPr>
          <w:rFonts w:ascii="Segoe UI" w:hAnsi="Segoe UI" w:eastAsia="Arial" w:cs="Segoe UI"/>
          <w:color w:val="000000"/>
          <w:sz w:val="4"/>
          <w:szCs w:val="20"/>
        </w:rPr>
      </w:pPr>
      <w:r>
        <w:rPr>
          <w:rFonts w:eastAsia="Arial" w:cs="Segoe UI" w:ascii="Segoe UI" w:hAnsi="Segoe UI"/>
          <w:color w:val="000000"/>
          <w:sz w:val="4"/>
          <w:szCs w:val="20"/>
        </w:rPr>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DA JUSTIFICATIVA DA CONTRATAÇÃO</w:t>
      </w:r>
    </w:p>
    <w:p>
      <w:pPr>
        <w:pStyle w:val="Normal"/>
        <w:tabs>
          <w:tab w:val="clear" w:pos="720"/>
          <w:tab w:val="left" w:pos="709" w:leader="none"/>
          <w:tab w:val="left" w:pos="1240" w:leader="none"/>
        </w:tabs>
        <w:spacing w:lineRule="auto" w:line="259" w:before="0" w:after="120"/>
        <w:ind w:right="209"/>
        <w:jc w:val="both"/>
        <w:rPr>
          <w:rFonts w:ascii="Segoe UI" w:hAnsi="Segoe UI" w:eastAsia="Arial" w:cs="Segoe UI"/>
          <w:color w:val="000000"/>
          <w:sz w:val="20"/>
          <w:szCs w:val="20"/>
        </w:rPr>
      </w:pPr>
      <w:r>
        <w:rPr>
          <w:rFonts w:eastAsia="Arial" w:cs="Segoe UI" w:ascii="Segoe UI" w:hAnsi="Segoe UI"/>
          <w:color w:val="000000"/>
          <w:sz w:val="20"/>
          <w:szCs w:val="20"/>
        </w:rPr>
        <w:t xml:space="preserve">2.1 Ressalta-se que a aquisição de materiais de copa e cozinha se faz necessária para a manutenção dos serviços de rotina relacionados às atividades desenvolvidas por este Poder Legislativo Municipal, atendendo ainda todos os servidores que diariamente desempenham suas funções laborais, além dos cidadãos em geral que transitam neste órgão, proporcionando assim a continuidade na prestação do serviço público. Destaca-se ainda que, por serem materiais de uso contínuo, a sua falta ou escassez impacta diretamente nos resultados e nas entregas, comprometendo o pleno funcionamento desta Casa Legislativa. </w:t>
      </w:r>
    </w:p>
    <w:p>
      <w:pPr>
        <w:pStyle w:val="Normal"/>
        <w:tabs>
          <w:tab w:val="clear" w:pos="720"/>
          <w:tab w:val="left" w:pos="709" w:leader="none"/>
          <w:tab w:val="left" w:pos="1240" w:leader="none"/>
        </w:tabs>
        <w:spacing w:lineRule="auto" w:line="259" w:before="0" w:after="120"/>
        <w:ind w:right="209"/>
        <w:jc w:val="both"/>
        <w:rPr>
          <w:rFonts w:ascii="Segoe UI" w:hAnsi="Segoe UI" w:eastAsia="Arial" w:cs="Segoe UI"/>
          <w:color w:val="000000"/>
          <w:sz w:val="20"/>
          <w:szCs w:val="20"/>
        </w:rPr>
      </w:pPr>
      <w:r>
        <w:rPr>
          <w:rFonts w:eastAsia="Arial" w:cs="Segoe UI" w:ascii="Segoe UI" w:hAnsi="Segoe UI"/>
          <w:color w:val="000000"/>
          <w:sz w:val="20"/>
          <w:szCs w:val="20"/>
        </w:rPr>
        <w:t>2.2 A contratação se justifica ainda para atender à necessidade deste órgão no que tange à reposição de estoque, visando garantir seu suprimento ao longo do exercício e de acordo com a demanda de consumo, levando em consideração os possíveis aumentos do gasto no decorrer do ano e evitando ainda desperdícios com estoque vultoso.</w:t>
      </w:r>
    </w:p>
    <w:p>
      <w:pPr>
        <w:pStyle w:val="Normal"/>
        <w:tabs>
          <w:tab w:val="clear" w:pos="720"/>
          <w:tab w:val="left" w:pos="709" w:leader="none"/>
          <w:tab w:val="left" w:pos="1240" w:leader="none"/>
        </w:tabs>
        <w:spacing w:lineRule="auto" w:line="259" w:before="0" w:after="120"/>
        <w:ind w:right="209"/>
        <w:jc w:val="both"/>
        <w:rPr>
          <w:rFonts w:ascii="Segoe UI" w:hAnsi="Segoe UI" w:eastAsia="Arial" w:cs="Segoe UI"/>
          <w:color w:val="000000"/>
          <w:sz w:val="20"/>
          <w:szCs w:val="20"/>
        </w:rPr>
      </w:pPr>
      <w:r>
        <w:rPr>
          <w:rFonts w:eastAsia="Arial" w:cs="Segoe UI" w:ascii="Segoe UI" w:hAnsi="Segoe UI"/>
          <w:color w:val="000000"/>
          <w:sz w:val="20"/>
          <w:szCs w:val="20"/>
        </w:rPr>
        <w:t>2.3 Os elementos técnicos descritos neste Termo de Referência são os mínimos necessários para assegurar que a aquisição se dê de forma satisfatória, com as mínimas condições técnicas e de qualidade exigidas e, ainda, assegurar o gasto racional dos recursos públicos.</w:t>
      </w:r>
    </w:p>
    <w:p>
      <w:pPr>
        <w:pStyle w:val="Normal"/>
        <w:tabs>
          <w:tab w:val="clear" w:pos="720"/>
          <w:tab w:val="left" w:pos="709" w:leader="none"/>
          <w:tab w:val="left" w:pos="1240" w:leader="none"/>
        </w:tabs>
        <w:spacing w:lineRule="auto" w:line="259" w:before="0" w:after="120"/>
        <w:ind w:right="209"/>
        <w:jc w:val="both"/>
        <w:rPr>
          <w:rFonts w:ascii="Segoe UI" w:hAnsi="Segoe UI" w:eastAsia="Arial" w:cs="Segoe UI"/>
          <w:color w:val="000000"/>
          <w:sz w:val="20"/>
          <w:szCs w:val="20"/>
        </w:rPr>
      </w:pPr>
      <w:r>
        <w:rPr>
          <w:rFonts w:eastAsia="Arial" w:cs="Segoe UI" w:ascii="Segoe UI" w:hAnsi="Segoe UI"/>
          <w:color w:val="000000"/>
          <w:sz w:val="20"/>
          <w:szCs w:val="20"/>
        </w:rPr>
        <w:t>2.4 Nesses termos, seguem as características dos produtos conforme cadastro no sistema de controle de estoque, com especificações detalhadas do produto para a aquisição parcelada, bem como a quantidade sugerida para aquisição do material, prevista de acordo com as demandas atuais dos setores requisitantes.</w:t>
      </w:r>
    </w:p>
    <w:p>
      <w:pPr>
        <w:pStyle w:val="Heading1"/>
        <w:numPr>
          <w:ilvl w:val="0"/>
          <w:numId w:val="1"/>
        </w:numPr>
        <w:tabs>
          <w:tab w:val="clear" w:pos="720"/>
          <w:tab w:val="left" w:pos="490" w:leader="none"/>
          <w:tab w:val="left" w:pos="709" w:leader="none"/>
        </w:tabs>
        <w:spacing w:lineRule="auto" w:line="259" w:before="0" w:after="120"/>
        <w:ind w:hanging="0" w:left="0"/>
        <w:jc w:val="both"/>
        <w:rPr>
          <w:rFonts w:ascii="Segoe UI" w:hAnsi="Segoe UI" w:eastAsia="Arial" w:cs="Segoe UI"/>
          <w:color w:val="000000"/>
          <w:sz w:val="20"/>
          <w:szCs w:val="20"/>
        </w:rPr>
      </w:pPr>
      <w:r>
        <w:rPr>
          <w:rFonts w:eastAsia="Arial" w:cs="Segoe UI" w:ascii="Segoe UI" w:hAnsi="Segoe UI"/>
          <w:color w:val="000000"/>
          <w:sz w:val="20"/>
          <w:szCs w:val="20"/>
        </w:rPr>
        <w:t>DA VIGÊNCIA CONTRATUAL E PRAZO PARA FORNECIMENTO.</w:t>
      </w:r>
    </w:p>
    <w:p>
      <w:pPr>
        <w:pStyle w:val="ListParagraph"/>
        <w:tabs>
          <w:tab w:val="clear" w:pos="720"/>
          <w:tab w:val="left" w:pos="709" w:leader="none"/>
          <w:tab w:val="left" w:pos="1270" w:leader="none"/>
        </w:tabs>
        <w:spacing w:lineRule="auto" w:line="259" w:before="0" w:after="120"/>
        <w:ind w:left="0" w:right="214"/>
        <w:jc w:val="both"/>
        <w:rPr>
          <w:rFonts w:ascii="Segoe UI" w:hAnsi="Segoe UI" w:eastAsia="Arial" w:cs="Segoe UI"/>
          <w:color w:val="000000"/>
          <w:sz w:val="20"/>
          <w:szCs w:val="20"/>
        </w:rPr>
      </w:pPr>
      <w:r>
        <w:rPr>
          <w:rFonts w:eastAsia="Arial" w:cs="Segoe UI" w:ascii="Segoe UI" w:hAnsi="Segoe UI"/>
          <w:color w:val="000000"/>
          <w:sz w:val="20"/>
          <w:szCs w:val="20"/>
        </w:rPr>
        <w:t>3.1 O contrato terá vigência da sua assinatura até 31/12/2025, podendo ser prorrogado desde que obedecidas às regras da Lei nº 14.133, de 1º de abril de 2021.</w:t>
      </w:r>
    </w:p>
    <w:p>
      <w:pPr>
        <w:pStyle w:val="ListParagraph"/>
        <w:tabs>
          <w:tab w:val="clear" w:pos="720"/>
          <w:tab w:val="left" w:pos="709" w:leader="none"/>
          <w:tab w:val="left" w:pos="1270" w:leader="none"/>
        </w:tabs>
        <w:spacing w:lineRule="auto" w:line="259" w:before="0" w:after="120"/>
        <w:ind w:left="0" w:right="214"/>
        <w:jc w:val="both"/>
        <w:rPr>
          <w:rFonts w:ascii="Segoe UI" w:hAnsi="Segoe UI" w:eastAsia="Arial" w:cs="Segoe UI"/>
          <w:bCs/>
          <w:color w:val="000000"/>
          <w:sz w:val="20"/>
          <w:szCs w:val="20"/>
        </w:rPr>
      </w:pPr>
      <w:r>
        <w:rPr>
          <w:rFonts w:eastAsia="Arial" w:cs="Segoe UI" w:ascii="Segoe UI" w:hAnsi="Segoe UI"/>
          <w:color w:val="000000"/>
          <w:sz w:val="20"/>
          <w:szCs w:val="20"/>
        </w:rPr>
        <w:t xml:space="preserve">3.2 O fornecimento do material ocorrerá </w:t>
      </w:r>
      <w:r>
        <w:rPr>
          <w:rFonts w:eastAsia="Arial" w:cs="Segoe UI" w:ascii="Segoe UI" w:hAnsi="Segoe UI"/>
          <w:b/>
          <w:bCs/>
          <w:color w:val="000000"/>
          <w:sz w:val="20"/>
          <w:szCs w:val="20"/>
          <w:u w:val="single"/>
        </w:rPr>
        <w:t>de forma parcelada</w:t>
      </w:r>
      <w:r>
        <w:rPr>
          <w:rFonts w:eastAsia="Arial" w:cs="Segoe UI" w:ascii="Segoe UI" w:hAnsi="Segoe UI"/>
          <w:color w:val="000000"/>
          <w:sz w:val="20"/>
          <w:szCs w:val="20"/>
        </w:rPr>
        <w:t xml:space="preserve">, conforme solicitação e necessidade da Câmara Municipal de Guarapari, </w:t>
      </w:r>
      <w:r>
        <w:rPr>
          <w:rFonts w:eastAsia="Arial" w:cs="Segoe UI" w:ascii="Segoe UI" w:hAnsi="Segoe UI"/>
          <w:bCs/>
          <w:color w:val="000000"/>
          <w:sz w:val="20"/>
          <w:szCs w:val="20"/>
        </w:rPr>
        <w:t xml:space="preserve">devendo a CONTRATADA providenciar a entrega </w:t>
      </w:r>
      <w:r>
        <w:rPr>
          <w:rFonts w:eastAsia="Arial" w:cs="Segoe UI" w:ascii="Segoe UI" w:hAnsi="Segoe UI"/>
          <w:b/>
          <w:bCs/>
          <w:color w:val="000000"/>
          <w:sz w:val="20"/>
          <w:szCs w:val="20"/>
        </w:rPr>
        <w:t>no prazo máximo de 07 (sete) dias</w:t>
      </w:r>
      <w:r>
        <w:rPr>
          <w:rFonts w:eastAsia="Arial" w:cs="Segoe UI" w:ascii="Segoe UI" w:hAnsi="Segoe UI"/>
          <w:bCs/>
          <w:color w:val="000000"/>
          <w:sz w:val="20"/>
          <w:szCs w:val="20"/>
        </w:rPr>
        <w:t>, a contar da solicitação, devendo este ser cumprido pela CONTRATADA.</w:t>
      </w:r>
    </w:p>
    <w:p>
      <w:pPr>
        <w:pStyle w:val="Heading1"/>
        <w:numPr>
          <w:ilvl w:val="0"/>
          <w:numId w:val="1"/>
        </w:numPr>
        <w:tabs>
          <w:tab w:val="clear" w:pos="720"/>
          <w:tab w:val="left" w:pos="567"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DA ENTREGA E CRITÉRIOS DE ACEITAÇÃO DO OBJETO.</w:t>
      </w:r>
    </w:p>
    <w:p>
      <w:pPr>
        <w:pStyle w:val="Normal"/>
        <w:tabs>
          <w:tab w:val="clear" w:pos="720"/>
          <w:tab w:val="left" w:pos="709" w:leader="none"/>
          <w:tab w:val="left" w:pos="1270" w:leader="none"/>
        </w:tabs>
        <w:spacing w:lineRule="auto" w:line="259" w:before="0" w:after="120"/>
        <w:ind w:right="209"/>
        <w:jc w:val="both"/>
        <w:rPr>
          <w:rFonts w:ascii="Segoe UI" w:hAnsi="Segoe UI" w:cs="Segoe UI"/>
          <w:color w:val="000000"/>
          <w:sz w:val="20"/>
          <w:szCs w:val="20"/>
        </w:rPr>
      </w:pPr>
      <w:r>
        <w:rPr>
          <w:rFonts w:eastAsia="Arial" w:cs="Segoe UI" w:ascii="Segoe UI" w:hAnsi="Segoe UI"/>
          <w:color w:val="000000"/>
          <w:sz w:val="20"/>
          <w:szCs w:val="20"/>
        </w:rPr>
        <w:t xml:space="preserve">4.1 </w:t>
      </w:r>
      <w:r>
        <w:rPr>
          <w:rFonts w:eastAsia="Arial" w:cs="Segoe UI" w:ascii="Segoe UI" w:hAnsi="Segoe UI"/>
          <w:color w:val="000000"/>
          <w:sz w:val="20"/>
          <w:szCs w:val="20"/>
          <w:u w:val="single"/>
        </w:rPr>
        <w:t>O prazo de entrega dos bens é de 07 (sete) dias corridos, contados do recebimento da Solicitação de Entrega,</w:t>
      </w:r>
      <w:r>
        <w:rPr>
          <w:rFonts w:eastAsia="Arial" w:cs="Segoe UI" w:ascii="Segoe UI" w:hAnsi="Segoe UI"/>
          <w:color w:val="000000"/>
          <w:sz w:val="20"/>
          <w:szCs w:val="20"/>
        </w:rPr>
        <w:t xml:space="preserve"> no seguinte endereço: </w:t>
      </w:r>
      <w:r>
        <w:rPr>
          <w:rFonts w:eastAsia="Arial" w:cs="Segoe UI" w:ascii="Segoe UI" w:hAnsi="Segoe UI"/>
          <w:color w:val="000000"/>
          <w:sz w:val="20"/>
          <w:szCs w:val="20"/>
          <w:u w:val="single"/>
        </w:rPr>
        <w:t>Rua Getúlio Vargas, nº 299, Centro, Guarapari/ES, CEP: 29.200-180</w:t>
      </w:r>
      <w:r>
        <w:rPr>
          <w:rFonts w:eastAsia="Arial" w:cs="Segoe UI" w:ascii="Segoe UI" w:hAnsi="Segoe UI"/>
          <w:color w:val="000000"/>
          <w:sz w:val="20"/>
          <w:szCs w:val="20"/>
        </w:rPr>
        <w:t xml:space="preserve">, dentro do horário de expediente, de segunda-feira a sexta-feira, das 08:00 as 17:00hrs, </w:t>
      </w:r>
      <w:r>
        <w:rPr>
          <w:rFonts w:cs="Segoe UI" w:ascii="Segoe UI" w:hAnsi="Segoe UI"/>
          <w:bCs/>
          <w:sz w:val="20"/>
          <w:szCs w:val="20"/>
        </w:rPr>
        <w:t>devendo este ser cumprido pela CONTRATADA, sob pena de rescisão e demais sanções previstas no contrato e na Lei nº 14.133/2021 e alterações.</w:t>
      </w:r>
    </w:p>
    <w:p>
      <w:pPr>
        <w:pStyle w:val="Normal"/>
        <w:tabs>
          <w:tab w:val="clear" w:pos="720"/>
          <w:tab w:val="left" w:pos="709" w:leader="none"/>
          <w:tab w:val="left" w:pos="1270" w:leader="none"/>
        </w:tabs>
        <w:spacing w:lineRule="auto" w:line="259" w:before="0" w:after="120"/>
        <w:ind w:right="210"/>
        <w:jc w:val="both"/>
        <w:rPr>
          <w:rFonts w:ascii="Segoe UI" w:hAnsi="Segoe UI" w:cs="Segoe UI"/>
          <w:color w:val="000000"/>
          <w:sz w:val="20"/>
          <w:szCs w:val="20"/>
        </w:rPr>
      </w:pPr>
      <w:r>
        <w:rPr>
          <w:rFonts w:eastAsia="Arial" w:cs="Segoe UI" w:ascii="Segoe UI" w:hAnsi="Segoe UI"/>
          <w:color w:val="000000"/>
          <w:sz w:val="20"/>
          <w:szCs w:val="20"/>
        </w:rPr>
        <w:t>4.2 Os bens poderão ser rejeitados, no todo ou em parte, quando em desacordo com as especificações constantes neste Termo de Referência e na proposta, devendo ser substituídos no prazo de 07 (sete) dias, a contar da notificação da contratada, às suas custas, sem prejuízo da aplicação das penalidades.</w:t>
      </w:r>
    </w:p>
    <w:p>
      <w:pPr>
        <w:pStyle w:val="Normal"/>
        <w:tabs>
          <w:tab w:val="clear" w:pos="720"/>
          <w:tab w:val="left" w:pos="709" w:leader="none"/>
          <w:tab w:val="left" w:pos="1270" w:leader="none"/>
        </w:tabs>
        <w:spacing w:lineRule="auto" w:line="259" w:before="0" w:after="120"/>
        <w:ind w:right="210"/>
        <w:jc w:val="both"/>
        <w:rPr>
          <w:rFonts w:ascii="Segoe UI" w:hAnsi="Segoe UI" w:cs="Segoe UI"/>
          <w:color w:val="000000"/>
          <w:sz w:val="20"/>
          <w:szCs w:val="20"/>
        </w:rPr>
      </w:pPr>
      <w:r>
        <w:rPr>
          <w:rFonts w:eastAsia="Arial" w:cs="Segoe UI" w:ascii="Segoe UI" w:hAnsi="Segoe UI"/>
          <w:color w:val="000000"/>
          <w:sz w:val="20"/>
          <w:szCs w:val="20"/>
        </w:rPr>
        <w:t>4.3 Os bens serão recebidos definitivamente no prazo de 15 (quinze) dias corridos ou de acordo com a necessidade do contratante, contados do recebimento provisório, após a verificação da qualidade e quantidade do material e consequente aceitação mediante termo circunstanciado.</w:t>
      </w:r>
    </w:p>
    <w:p>
      <w:pPr>
        <w:pStyle w:val="Normal"/>
        <w:tabs>
          <w:tab w:val="clear" w:pos="720"/>
          <w:tab w:val="left" w:pos="709" w:leader="none"/>
          <w:tab w:val="left" w:pos="1990" w:leader="none"/>
        </w:tabs>
        <w:spacing w:lineRule="auto" w:line="259" w:before="0" w:after="120"/>
        <w:ind w:right="219"/>
        <w:jc w:val="both"/>
        <w:rPr>
          <w:rFonts w:ascii="Segoe UI" w:hAnsi="Segoe UI" w:cs="Segoe UI"/>
          <w:color w:val="000000"/>
          <w:sz w:val="20"/>
          <w:szCs w:val="20"/>
        </w:rPr>
      </w:pPr>
      <w:r>
        <w:rPr>
          <w:rFonts w:eastAsia="Arial" w:cs="Segoe UI" w:ascii="Segoe UI" w:hAnsi="Segoe UI"/>
          <w:color w:val="000000"/>
          <w:sz w:val="20"/>
          <w:szCs w:val="20"/>
        </w:rPr>
        <w:t>4.4 A hipótese de a verificação a que se refere o item anterior não ser procedida dentro do prazo fixado, reputar-se-á como realizada, consumando-se o recebimento definitivo no dia do esgotamento do prazo.</w:t>
      </w:r>
    </w:p>
    <w:p>
      <w:pPr>
        <w:pStyle w:val="Normal"/>
        <w:tabs>
          <w:tab w:val="clear" w:pos="720"/>
          <w:tab w:val="left" w:pos="709" w:leader="none"/>
          <w:tab w:val="left" w:pos="1270" w:leader="none"/>
        </w:tabs>
        <w:spacing w:lineRule="auto" w:line="259" w:before="0" w:after="120"/>
        <w:ind w:right="215"/>
        <w:jc w:val="both"/>
        <w:rPr>
          <w:rFonts w:ascii="Segoe UI" w:hAnsi="Segoe UI" w:cs="Segoe UI"/>
          <w:color w:val="000000"/>
          <w:sz w:val="20"/>
          <w:szCs w:val="20"/>
        </w:rPr>
      </w:pPr>
      <w:r>
        <w:rPr>
          <w:rFonts w:eastAsia="Arial" w:cs="Segoe UI" w:ascii="Segoe UI" w:hAnsi="Segoe UI"/>
          <w:color w:val="000000"/>
          <w:sz w:val="20"/>
          <w:szCs w:val="20"/>
        </w:rPr>
        <w:t>4.5 O recebimento provisório ou definitivo do objeto não exclui a responsabilidade da contratada pelos prejuízos resultantes da incorreta execução do serviço.</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DAS OBRIGAÇÕES DA CONTRATANTE</w:t>
      </w:r>
    </w:p>
    <w:p>
      <w:pPr>
        <w:pStyle w:val="Normal"/>
        <w:tabs>
          <w:tab w:val="clear" w:pos="720"/>
          <w:tab w:val="left" w:pos="709" w:leader="none"/>
          <w:tab w:val="left" w:pos="1270" w:leader="none"/>
        </w:tabs>
        <w:spacing w:lineRule="auto" w:line="259" w:before="0" w:after="120"/>
        <w:jc w:val="both"/>
        <w:rPr>
          <w:rFonts w:ascii="Segoe UI" w:hAnsi="Segoe UI" w:cs="Segoe UI"/>
          <w:color w:val="000000"/>
          <w:sz w:val="20"/>
          <w:szCs w:val="20"/>
        </w:rPr>
      </w:pPr>
      <w:r>
        <w:rPr>
          <w:rFonts w:eastAsia="Arial" w:cs="Segoe UI" w:ascii="Segoe UI" w:hAnsi="Segoe UI"/>
          <w:color w:val="000000"/>
          <w:sz w:val="20"/>
          <w:szCs w:val="20"/>
        </w:rPr>
        <w:t>5.1 São obrigações da Contratante:</w:t>
      </w:r>
    </w:p>
    <w:p>
      <w:pPr>
        <w:pStyle w:val="Normal"/>
        <w:tabs>
          <w:tab w:val="clear" w:pos="720"/>
          <w:tab w:val="left" w:pos="709" w:leader="none"/>
          <w:tab w:val="left" w:pos="1990" w:leader="none"/>
        </w:tabs>
        <w:spacing w:lineRule="auto" w:line="259" w:before="0" w:after="120"/>
        <w:ind w:left="284" w:right="212"/>
        <w:jc w:val="both"/>
        <w:rPr>
          <w:rFonts w:ascii="Segoe UI" w:hAnsi="Segoe UI" w:cs="Segoe UI"/>
          <w:color w:val="000000"/>
          <w:sz w:val="20"/>
          <w:szCs w:val="20"/>
        </w:rPr>
      </w:pPr>
      <w:r>
        <w:rPr>
          <w:rFonts w:eastAsia="Arial" w:cs="Segoe UI" w:ascii="Segoe UI" w:hAnsi="Segoe UI"/>
          <w:color w:val="000000"/>
          <w:sz w:val="20"/>
          <w:szCs w:val="20"/>
        </w:rPr>
        <w:t>5.1.1 receber o objeto no prazo e condições estabelecidas no Termo de Referência e seus anexos;</w:t>
      </w:r>
    </w:p>
    <w:p>
      <w:pPr>
        <w:pStyle w:val="Normal"/>
        <w:tabs>
          <w:tab w:val="clear" w:pos="720"/>
          <w:tab w:val="left" w:pos="709" w:leader="none"/>
          <w:tab w:val="left" w:pos="1990" w:leader="none"/>
        </w:tabs>
        <w:spacing w:lineRule="auto" w:line="259" w:before="0" w:after="120"/>
        <w:ind w:left="284" w:right="220"/>
        <w:jc w:val="both"/>
        <w:rPr>
          <w:rFonts w:ascii="Segoe UI" w:hAnsi="Segoe UI" w:eastAsia="Arial" w:cs="Segoe UI"/>
          <w:color w:val="000000"/>
          <w:sz w:val="20"/>
          <w:szCs w:val="20"/>
        </w:rPr>
      </w:pPr>
      <w:r>
        <w:rPr>
          <w:rFonts w:eastAsia="Arial" w:cs="Segoe UI" w:ascii="Segoe UI" w:hAnsi="Segoe UI"/>
          <w:color w:val="000000"/>
          <w:sz w:val="20"/>
          <w:szCs w:val="20"/>
        </w:rPr>
        <w:t>5.1.2 verificar minuciosamente, no prazo fixado, a conformidade dos bens recebidos provisoriamente com as especificações constantes do Termo de Referência e da proposta, para fins de aceitação e recebimento definitivo;</w:t>
      </w:r>
    </w:p>
    <w:p>
      <w:pPr>
        <w:pStyle w:val="Normal"/>
        <w:tabs>
          <w:tab w:val="clear" w:pos="720"/>
          <w:tab w:val="left" w:pos="709" w:leader="none"/>
          <w:tab w:val="left" w:pos="1990" w:leader="none"/>
        </w:tabs>
        <w:spacing w:lineRule="auto" w:line="259" w:before="0" w:after="120"/>
        <w:ind w:left="284" w:right="218"/>
        <w:jc w:val="both"/>
        <w:rPr>
          <w:rFonts w:ascii="Segoe UI" w:hAnsi="Segoe UI" w:cs="Segoe UI"/>
          <w:color w:val="000000"/>
          <w:sz w:val="20"/>
          <w:szCs w:val="20"/>
        </w:rPr>
      </w:pPr>
      <w:r>
        <w:rPr>
          <w:rFonts w:eastAsia="Arial" w:cs="Segoe UI" w:ascii="Segoe UI" w:hAnsi="Segoe UI"/>
          <w:color w:val="000000"/>
          <w:sz w:val="20"/>
          <w:szCs w:val="20"/>
        </w:rPr>
        <w:t>5.1.3 comunicar à Contratada, por escrito, sobre imperfeições, falhas ou irregularidades verificadas no objeto fornecido, para que seja substituído, reparado ou corrigido;</w:t>
      </w:r>
    </w:p>
    <w:p>
      <w:pPr>
        <w:pStyle w:val="Normal"/>
        <w:tabs>
          <w:tab w:val="clear" w:pos="720"/>
          <w:tab w:val="left" w:pos="709" w:leader="none"/>
          <w:tab w:val="left" w:pos="1990" w:leader="none"/>
        </w:tabs>
        <w:spacing w:lineRule="auto" w:line="259" w:before="0" w:after="120"/>
        <w:ind w:left="284" w:right="220"/>
        <w:jc w:val="both"/>
        <w:rPr>
          <w:rFonts w:ascii="Segoe UI" w:hAnsi="Segoe UI" w:eastAsia="Arial" w:cs="Segoe UI"/>
          <w:color w:val="000000"/>
          <w:sz w:val="20"/>
          <w:szCs w:val="20"/>
        </w:rPr>
      </w:pPr>
      <w:r>
        <w:rPr>
          <w:rFonts w:eastAsia="Arial" w:cs="Segoe UI" w:ascii="Segoe UI" w:hAnsi="Segoe UI"/>
          <w:color w:val="000000"/>
          <w:sz w:val="20"/>
          <w:szCs w:val="20"/>
        </w:rPr>
        <w:t>5.1.4 acompanhar, fiscalizar e avaliar o fornecimento do serviço prestado pela contratada, por intermédio de servidor designado para atuar como fiscal do contrato, que será responsável por comunicações, notificações, solicitações, requisições e demais atos relativos à execução do contrato, bem como pelo registro das ocorrências da relação contratual;</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5.1.5 manter seus dados atualizados perante a contratada, fazendo comunicar eventuais alterações de representantes, fiscais de contrato, endereços, contatos e demais informações necessárias à execução do contrato;</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5.1.6 requisitar a documentação necessária à comprovação da manutenção das condições de habilitação e do cumprimento de obrigações contratuais;</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5.1.7 exigir o rigoroso cumprimento das disposições contratuais e aplicar as penalidades cominadas;</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5.1.8 proporcionar as facilidades para que a contratada possa desempenhar o fornecimento dentro das disposições contratuais;</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5.1.9 prestar informações e esclarecimentos solicitados pelo preposto da CONTRATADA;</w:t>
      </w:r>
    </w:p>
    <w:p>
      <w:pPr>
        <w:pStyle w:val="Normal"/>
        <w:widowControl/>
        <w:spacing w:lineRule="auto" w:line="259" w:before="0" w:after="120"/>
        <w:ind w:left="284"/>
        <w:jc w:val="both"/>
        <w:rPr>
          <w:rFonts w:ascii="Segoe UI" w:hAnsi="Segoe UI" w:cs="Segoe UI"/>
          <w:sz w:val="20"/>
          <w:szCs w:val="20"/>
        </w:rPr>
      </w:pPr>
      <w:r>
        <w:rPr>
          <w:rFonts w:cs="Segoe UI" w:ascii="Segoe UI" w:hAnsi="Segoe UI"/>
          <w:sz w:val="20"/>
          <w:szCs w:val="20"/>
        </w:rPr>
        <w:t>5.1.10 permitir e acompanhar o acesso dos empregados da CONTRATADA, devidamente identificados, aos locais onde devam ser entregues os produtos;</w:t>
      </w:r>
    </w:p>
    <w:p>
      <w:pPr>
        <w:pStyle w:val="Normal"/>
        <w:tabs>
          <w:tab w:val="clear" w:pos="720"/>
          <w:tab w:val="left" w:pos="709" w:leader="none"/>
          <w:tab w:val="left" w:pos="1990" w:leader="none"/>
        </w:tabs>
        <w:spacing w:lineRule="auto" w:line="259" w:before="0" w:after="120"/>
        <w:ind w:left="284" w:right="220"/>
        <w:jc w:val="both"/>
        <w:rPr>
          <w:rFonts w:ascii="Segoe UI" w:hAnsi="Segoe UI" w:cs="Segoe UI"/>
          <w:color w:val="000000"/>
          <w:sz w:val="20"/>
          <w:szCs w:val="20"/>
        </w:rPr>
      </w:pPr>
      <w:r>
        <w:rPr>
          <w:rFonts w:cs="Segoe UI" w:ascii="Segoe UI" w:hAnsi="Segoe UI"/>
          <w:sz w:val="20"/>
          <w:szCs w:val="20"/>
        </w:rPr>
        <w:t>5.1.11 formalizar as solicitações de fornecimento por meio de ordens de serviço e enviá-las pelos meios de comunicação informados pela CONTRATADA</w:t>
      </w:r>
    </w:p>
    <w:p>
      <w:pPr>
        <w:pStyle w:val="Normal"/>
        <w:tabs>
          <w:tab w:val="clear" w:pos="720"/>
          <w:tab w:val="left" w:pos="709" w:leader="none"/>
          <w:tab w:val="left" w:pos="1990" w:leader="none"/>
        </w:tabs>
        <w:spacing w:lineRule="auto" w:line="259" w:before="0" w:after="120"/>
        <w:ind w:left="284" w:right="209"/>
        <w:jc w:val="both"/>
        <w:rPr>
          <w:rFonts w:ascii="Segoe UI" w:hAnsi="Segoe UI" w:eastAsia="Arial" w:cs="Segoe UI"/>
          <w:color w:val="000000"/>
          <w:sz w:val="20"/>
          <w:szCs w:val="20"/>
        </w:rPr>
      </w:pPr>
      <w:r>
        <w:rPr>
          <w:rFonts w:eastAsia="Arial" w:cs="Segoe UI" w:ascii="Segoe UI" w:hAnsi="Segoe UI"/>
          <w:color w:val="000000"/>
          <w:sz w:val="20"/>
          <w:szCs w:val="20"/>
        </w:rPr>
        <w:t>5.1.12 efetuar o pagamento à Contratada no valor correspondente ao fornecimento do objeto, no prazo e forma estabelecidos no Termo de Referência e seus anexos;</w:t>
      </w:r>
    </w:p>
    <w:p>
      <w:pPr>
        <w:pStyle w:val="Normal"/>
        <w:tabs>
          <w:tab w:val="clear" w:pos="720"/>
          <w:tab w:val="left" w:pos="709" w:leader="none"/>
          <w:tab w:val="left" w:pos="1270" w:leader="none"/>
        </w:tabs>
        <w:spacing w:lineRule="auto" w:line="259" w:before="0" w:after="120"/>
        <w:ind w:right="216"/>
        <w:jc w:val="both"/>
        <w:rPr>
          <w:rFonts w:ascii="Segoe UI" w:hAnsi="Segoe UI" w:eastAsia="Arial" w:cs="Segoe UI"/>
          <w:color w:val="000000"/>
          <w:sz w:val="20"/>
          <w:szCs w:val="20"/>
        </w:rPr>
      </w:pPr>
      <w:r>
        <w:rPr>
          <w:rFonts w:eastAsia="Arial" w:cs="Segoe UI" w:ascii="Segoe UI" w:hAnsi="Segoe UI"/>
          <w:color w:val="000000"/>
          <w:sz w:val="20"/>
          <w:szCs w:val="20"/>
        </w:rPr>
        <w:t>5.2 A Administração não responderá por quaisquer compromissos assumidos pela Contratada com terceiros, ainda que vinculados à execução do presente Termo de Referência, bem como por qualquer dano causado a terceiros em decorrência de ato da Contratada, de seus empregados, prepostos ou subordinados.</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DAS OBRIGAÇÕES DA CONTRATADA</w:t>
      </w:r>
    </w:p>
    <w:p>
      <w:pPr>
        <w:pStyle w:val="Normal"/>
        <w:widowControl/>
        <w:spacing w:lineRule="auto" w:line="259" w:before="0" w:after="120"/>
        <w:jc w:val="both"/>
        <w:rPr>
          <w:rFonts w:ascii="Segoe UI" w:hAnsi="Segoe UI" w:eastAsia="Arial" w:cs="Segoe UI"/>
          <w:color w:val="000000"/>
          <w:sz w:val="20"/>
          <w:szCs w:val="20"/>
        </w:rPr>
      </w:pPr>
      <w:r>
        <w:rPr>
          <w:rFonts w:eastAsia="Arial" w:cs="Segoe UI" w:ascii="Segoe UI" w:hAnsi="Segoe UI"/>
          <w:color w:val="000000"/>
          <w:sz w:val="20"/>
          <w:szCs w:val="20"/>
        </w:rPr>
        <w:t xml:space="preserve">Além das obrigações contidas na Lei nº 14.133/2021 atualizada, e demais legislações correlatas, a CONTRATADA deverá: </w:t>
      </w:r>
    </w:p>
    <w:p>
      <w:pPr>
        <w:pStyle w:val="Normal"/>
        <w:tabs>
          <w:tab w:val="clear" w:pos="720"/>
          <w:tab w:val="left" w:pos="709" w:leader="none"/>
          <w:tab w:val="left" w:pos="1270" w:leader="none"/>
        </w:tabs>
        <w:spacing w:lineRule="auto" w:line="259" w:before="0" w:after="120"/>
        <w:ind w:right="214"/>
        <w:jc w:val="both"/>
        <w:rPr>
          <w:rFonts w:ascii="Segoe UI" w:hAnsi="Segoe UI" w:eastAsia="Arial" w:cs="Segoe UI"/>
          <w:color w:val="000000"/>
          <w:sz w:val="20"/>
          <w:szCs w:val="20"/>
        </w:rPr>
      </w:pPr>
      <w:r>
        <w:rPr>
          <w:rFonts w:eastAsia="Arial" w:cs="Segoe UI" w:ascii="Segoe UI" w:hAnsi="Segoe UI"/>
          <w:color w:val="000000"/>
          <w:sz w:val="20"/>
          <w:szCs w:val="20"/>
        </w:rPr>
        <w:t>6.1 A Contratada deve cumprir todas as obrigações constantes no Termo de Referência, seus anexos e sua proposta, assumindo como exclusivamente seus os riscos e as despesas decorrentes da boa e perfeita execução do objeto e, ainda:</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rFonts w:ascii="Segoe UI" w:hAnsi="Segoe UI" w:cs="Segoe UI"/>
          <w:color w:val="000000"/>
          <w:sz w:val="20"/>
          <w:szCs w:val="20"/>
        </w:rPr>
      </w:pPr>
      <w:r>
        <w:rPr>
          <w:rFonts w:cs="Segoe UI" w:ascii="Segoe UI" w:hAnsi="Segoe UI"/>
          <w:color w:val="000000"/>
          <w:sz w:val="20"/>
          <w:szCs w:val="20"/>
        </w:rPr>
        <w:t xml:space="preserve">6.1.1 efetuar a entrega do objeto em perfeitas condições, conforme especificações, prazo e local constantes no Termo de Referência, Autorização de Fornecimento e seus anexos, acompanhado da respectiva nota fiscal, na qual constarão as indicações referentes a: marca, fabricante, modelo, procedência e prazo de garantia ou validade; </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pPr>
      <w:r>
        <w:rPr>
          <w:rFonts w:cs="Segoe UI" w:ascii="Segoe UI" w:hAnsi="Segoe UI"/>
          <w:color w:val="000000"/>
          <w:sz w:val="20"/>
          <w:szCs w:val="20"/>
        </w:rPr>
        <w:t>6.1.2 responsabilizar-se pelos vícios e danos decorrentes do objeto, de acordo com os artigos 12, 13 e 17 a 27, do Código de Defesa do Consumidor (Lei nº 8.078, de 1990);</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pPr>
      <w:r>
        <w:rPr>
          <w:rFonts w:cs="Segoe UI" w:ascii="Segoe UI" w:hAnsi="Segoe UI"/>
          <w:color w:val="000000"/>
          <w:sz w:val="20"/>
          <w:szCs w:val="20"/>
        </w:rPr>
        <w:t>6.1.3 substituir, reparar ou corrigir, às suas expensas, no prazo fixado neste Termo de Referência, o objeto com avarias ou defeitos;</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rFonts w:ascii="Segoe UI" w:hAnsi="Segoe UI" w:cs="Segoe UI"/>
          <w:color w:val="000000"/>
          <w:sz w:val="20"/>
          <w:szCs w:val="20"/>
        </w:rPr>
      </w:pPr>
      <w:r>
        <w:rPr>
          <w:rFonts w:cs="Segoe UI" w:ascii="Segoe UI" w:hAnsi="Segoe UI"/>
          <w:color w:val="000000"/>
          <w:sz w:val="20"/>
          <w:szCs w:val="20"/>
        </w:rPr>
        <w:t>6.1.4 comunicar à Contratante, no prazo máximo de 48 (quarenta e oito) horas que antecede a data da entrega, os motivos que impossibilitem o cumprimento do prazo previsto, com a devida comprovação;</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pPr>
      <w:r>
        <w:rPr>
          <w:rFonts w:cs="Segoe UI" w:ascii="Segoe UI" w:hAnsi="Segoe UI"/>
          <w:color w:val="000000"/>
          <w:sz w:val="20"/>
          <w:szCs w:val="20"/>
        </w:rPr>
        <w:t xml:space="preserve">6.1.6 Manter durante a execução do contrato, as mesmas condições da habilitação; </w:t>
      </w:r>
    </w:p>
    <w:p>
      <w:pPr>
        <w:pStyle w:val="Normal"/>
        <w:widowControl w:val="false"/>
        <w:tabs>
          <w:tab w:val="clear" w:pos="720"/>
          <w:tab w:val="left" w:pos="709" w:leader="none"/>
          <w:tab w:val="left" w:pos="1270" w:leader="none"/>
        </w:tabs>
        <w:suppressAutoHyphens w:val="true"/>
        <w:bidi w:val="0"/>
        <w:spacing w:lineRule="auto" w:line="259" w:before="0" w:after="120"/>
        <w:ind w:hanging="0" w:left="340" w:right="227"/>
        <w:jc w:val="both"/>
        <w:rPr>
          <w:rFonts w:ascii="Segoe UI" w:hAnsi="Segoe UI" w:cs="Segoe UI"/>
          <w:color w:val="000000"/>
          <w:sz w:val="20"/>
          <w:szCs w:val="20"/>
        </w:rPr>
      </w:pPr>
      <w:r>
        <w:rPr>
          <w:rFonts w:cs="Segoe UI" w:ascii="Segoe UI" w:hAnsi="Segoe UI"/>
          <w:color w:val="000000"/>
          <w:sz w:val="20"/>
          <w:szCs w:val="20"/>
        </w:rPr>
        <w:t xml:space="preserve">6.1.7 Não transferir a outrem, no todo ou em parte, a execução do contrato, salvo com expressa autorização da Contratante; </w:t>
      </w:r>
    </w:p>
    <w:p>
      <w:pPr>
        <w:pStyle w:val="Normal"/>
        <w:widowControl w:val="false"/>
        <w:tabs>
          <w:tab w:val="clear" w:pos="720"/>
          <w:tab w:val="left" w:pos="709" w:leader="none"/>
          <w:tab w:val="left" w:pos="1990" w:leader="none"/>
        </w:tabs>
        <w:suppressAutoHyphens w:val="true"/>
        <w:bidi w:val="0"/>
        <w:spacing w:lineRule="auto" w:line="259" w:before="0" w:after="120"/>
        <w:ind w:hanging="0" w:left="340" w:right="227"/>
        <w:jc w:val="both"/>
        <w:rPr>
          <w:rFonts w:ascii="Segoe UI" w:hAnsi="Segoe UI" w:cs="Segoe UI"/>
          <w:sz w:val="20"/>
          <w:szCs w:val="20"/>
        </w:rPr>
      </w:pPr>
      <w:r>
        <w:rPr>
          <w:rFonts w:cs="Segoe UI" w:ascii="Segoe UI" w:hAnsi="Segoe UI"/>
          <w:color w:val="000000"/>
          <w:sz w:val="20"/>
          <w:szCs w:val="20"/>
        </w:rPr>
        <w:t>6.1.9 F</w:t>
      </w:r>
      <w:r>
        <w:rPr>
          <w:rFonts w:cs="Segoe UI" w:ascii="Segoe UI" w:hAnsi="Segoe UI"/>
          <w:sz w:val="20"/>
          <w:szCs w:val="20"/>
        </w:rPr>
        <w:t xml:space="preserve">ornecer, </w:t>
      </w:r>
      <w:r>
        <w:rPr>
          <w:rFonts w:cs="Segoe UI" w:ascii="Segoe UI" w:hAnsi="Segoe UI"/>
          <w:sz w:val="20"/>
          <w:szCs w:val="20"/>
          <w:u w:val="single"/>
        </w:rPr>
        <w:t>no prazo de 02 (dois) dias</w:t>
      </w:r>
      <w:r>
        <w:rPr>
          <w:rFonts w:cs="Segoe UI" w:ascii="Segoe UI" w:hAnsi="Segoe UI"/>
          <w:sz w:val="20"/>
          <w:szCs w:val="20"/>
        </w:rPr>
        <w:t>, contados da solicitação, toda documentação necessária à comprovação das condições de habilitação jurídica, de regularidade fiscal e trabalhista, bem como documentos relativos à qualificação econômico-financeira listados abaixo:</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 xml:space="preserve">a) Cópia autenticada da Carteira de Identidade e CPF do (s) sócio (s) administrador (es) da empresa licitante; </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b) Cópia autenticada do Ato constitutivo, ou Contrato Social em vigor,</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 xml:space="preserve">c) Prova de inscrição ATIVA no Cadastro Nacional de Pessoa Jurídica (CNPJ); </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 xml:space="preserve">d) Certidões Negativas de Débito Estadual e Municipal no domicílio sede da CONTRATADA, válida na data da licitação; </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e) Certidões Negativas de Débito Estadual e Municipal no domicílio sede da CONTRATANTE, válida na data da licitação;</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 xml:space="preserve">f) Certificado de Regularidade do FGTS - Fundo de Garantia por Tempo de Serviço, demonstrando situação regular no cumprimento dos encargos sociais instituídos por lei, válida na data da licitação; </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 xml:space="preserve">g) Certidão Conjunta Negativa de Débitos Relativos a Tributos Federais, Dívida Ativa da União e Débitos Previdenciários, junto a Receita Federal, válida na data da licitação; </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h) Certidão Negativa de Débito Trabalhista CNDT válida na data da licitação;</w:t>
      </w:r>
    </w:p>
    <w:p>
      <w:pPr>
        <w:pStyle w:val="Normal"/>
        <w:widowControl w:val="false"/>
        <w:suppressAutoHyphens w:val="true"/>
        <w:bidi w:val="0"/>
        <w:spacing w:lineRule="auto" w:line="259" w:before="0" w:after="60"/>
        <w:ind w:hanging="0" w:left="850" w:right="0"/>
        <w:jc w:val="left"/>
        <w:rPr>
          <w:rFonts w:ascii="Segoe UI" w:hAnsi="Segoe UI" w:cs="Segoe UI"/>
          <w:sz w:val="20"/>
          <w:szCs w:val="20"/>
        </w:rPr>
      </w:pPr>
      <w:r>
        <w:rPr>
          <w:rFonts w:cs="Segoe UI" w:ascii="Segoe UI" w:hAnsi="Segoe UI"/>
          <w:sz w:val="20"/>
          <w:szCs w:val="20"/>
        </w:rPr>
        <w:t>i) Certidão Negativa de Falência, com data de expedição em até 30 (trinta) dias data para apresentação de propostas, expedida pelo distribuidor da sede da pessoa jurídica;</w:t>
      </w:r>
    </w:p>
    <w:p>
      <w:pPr>
        <w:pStyle w:val="Normal"/>
        <w:widowControl w:val="false"/>
        <w:suppressAutoHyphens w:val="true"/>
        <w:bidi w:val="0"/>
        <w:spacing w:lineRule="auto" w:line="259" w:before="0" w:after="60"/>
        <w:ind w:hanging="0" w:left="340" w:right="0"/>
        <w:jc w:val="left"/>
        <w:rPr>
          <w:rFonts w:ascii="Segoe UI" w:hAnsi="Segoe UI" w:cs="Segoe UI"/>
          <w:sz w:val="20"/>
          <w:szCs w:val="20"/>
        </w:rPr>
      </w:pPr>
      <w:r>
        <w:rPr>
          <w:rFonts w:cs="Segoe UI" w:ascii="Segoe UI" w:hAnsi="Segoe UI"/>
          <w:sz w:val="20"/>
          <w:szCs w:val="20"/>
        </w:rPr>
        <w:t xml:space="preserve">6.1.12 A Contratada não divulgará nem fornecerá dados ou informações obtidas em razão deste contrato, e não utilizará o nome da Câmara Municipal de Guarapari para fins comerciais ou em campanhas e material de publicidade, salvo com autorização prévia, emitida oficialmente pela Contratante; </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cs="Segoe UI"/>
          <w:sz w:val="20"/>
          <w:szCs w:val="20"/>
        </w:rPr>
      </w:pPr>
      <w:r>
        <w:rPr>
          <w:rFonts w:eastAsia="Arial" w:cs="Segoe UI" w:ascii="Segoe UI" w:hAnsi="Segoe UI"/>
          <w:sz w:val="20"/>
          <w:szCs w:val="20"/>
        </w:rPr>
        <w:t>DA SUBCONTRATAÇÃO</w:t>
      </w:r>
    </w:p>
    <w:p>
      <w:pPr>
        <w:pStyle w:val="Normal"/>
        <w:tabs>
          <w:tab w:val="clear" w:pos="720"/>
          <w:tab w:val="left" w:pos="709" w:leader="none"/>
          <w:tab w:val="left" w:pos="1569" w:leader="none"/>
        </w:tabs>
        <w:spacing w:lineRule="auto" w:line="259" w:before="0" w:after="120"/>
        <w:jc w:val="both"/>
        <w:rPr>
          <w:rFonts w:ascii="Segoe UI" w:hAnsi="Segoe UI" w:eastAsia="Arial" w:cs="Segoe UI"/>
          <w:color w:val="000000"/>
          <w:sz w:val="20"/>
          <w:szCs w:val="20"/>
        </w:rPr>
      </w:pPr>
      <w:r>
        <w:rPr>
          <w:rFonts w:eastAsia="Arial" w:cs="Segoe UI" w:ascii="Segoe UI" w:hAnsi="Segoe UI"/>
          <w:color w:val="000000"/>
          <w:sz w:val="20"/>
          <w:szCs w:val="20"/>
        </w:rPr>
        <w:t>7.1 Não será admitida a subcontratação do objeto licitatório.</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cs="Segoe UI"/>
          <w:sz w:val="20"/>
          <w:szCs w:val="20"/>
        </w:rPr>
      </w:pPr>
      <w:r>
        <w:rPr>
          <w:rFonts w:eastAsia="Arial" w:cs="Segoe UI" w:ascii="Segoe UI" w:hAnsi="Segoe UI"/>
          <w:sz w:val="20"/>
          <w:szCs w:val="20"/>
        </w:rPr>
        <w:t>DO CONTROLE E FISCALIZAÇÃO DA EXECUÇÃO</w:t>
      </w:r>
    </w:p>
    <w:p>
      <w:pPr>
        <w:pStyle w:val="Normal"/>
        <w:tabs>
          <w:tab w:val="clear" w:pos="720"/>
          <w:tab w:val="left" w:pos="709" w:leader="none"/>
          <w:tab w:val="left" w:pos="1270" w:leader="none"/>
        </w:tabs>
        <w:spacing w:lineRule="auto" w:line="259" w:before="0" w:after="120"/>
        <w:ind w:right="209"/>
        <w:jc w:val="both"/>
        <w:rPr>
          <w:rFonts w:ascii="Segoe UI" w:hAnsi="Segoe UI" w:cs="Segoe UI"/>
          <w:color w:val="000000"/>
          <w:sz w:val="20"/>
          <w:szCs w:val="20"/>
        </w:rPr>
      </w:pPr>
      <w:r>
        <w:rPr>
          <w:rFonts w:eastAsia="Arial" w:cs="Segoe UI" w:ascii="Segoe UI" w:hAnsi="Segoe UI"/>
          <w:color w:val="000000"/>
          <w:sz w:val="20"/>
          <w:szCs w:val="20"/>
        </w:rPr>
        <w:t>8.1 Nos termos do art. 117, §1°, da Lei n° 14.133/2021, será designado representante para acompanhar e fiscalizar a entrega dos bens, anotando em registro próprio todas as ocorrências relacionadas com a execução e determinando o que for necessário à regularização de falhas ou defeitos observados.</w:t>
      </w:r>
    </w:p>
    <w:p>
      <w:pPr>
        <w:pStyle w:val="Normal"/>
        <w:tabs>
          <w:tab w:val="clear" w:pos="720"/>
          <w:tab w:val="left" w:pos="709" w:leader="none"/>
          <w:tab w:val="left" w:pos="1990" w:leader="none"/>
        </w:tabs>
        <w:spacing w:lineRule="auto" w:line="259" w:before="0" w:after="120"/>
        <w:ind w:left="284" w:right="214"/>
        <w:jc w:val="both"/>
        <w:rPr>
          <w:rFonts w:ascii="Segoe UI" w:hAnsi="Segoe UI" w:cs="Segoe UI"/>
          <w:color w:val="000000"/>
          <w:sz w:val="20"/>
          <w:szCs w:val="20"/>
        </w:rPr>
      </w:pPr>
      <w:r>
        <w:rPr>
          <w:rFonts w:eastAsia="Arial" w:cs="Segoe UI" w:ascii="Segoe UI" w:hAnsi="Segoe UI"/>
          <w:color w:val="000000"/>
          <w:sz w:val="20"/>
          <w:szCs w:val="20"/>
        </w:rPr>
        <w:t>8.1.1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w:t>
      </w:r>
    </w:p>
    <w:p>
      <w:pPr>
        <w:pStyle w:val="Normal"/>
        <w:tabs>
          <w:tab w:val="clear" w:pos="720"/>
          <w:tab w:val="left" w:pos="709" w:leader="none"/>
          <w:tab w:val="left" w:pos="1990" w:leader="none"/>
        </w:tabs>
        <w:spacing w:lineRule="auto" w:line="259" w:before="0" w:after="120"/>
        <w:ind w:left="284" w:right="210"/>
        <w:jc w:val="both"/>
        <w:rPr>
          <w:rFonts w:ascii="Segoe UI" w:hAnsi="Segoe UI" w:eastAsia="Arial" w:cs="Segoe UI"/>
          <w:color w:val="000000"/>
          <w:sz w:val="20"/>
          <w:szCs w:val="20"/>
        </w:rPr>
      </w:pPr>
      <w:r>
        <w:rPr>
          <w:rFonts w:eastAsia="Arial" w:cs="Segoe UI" w:ascii="Segoe UI" w:hAnsi="Segoe UI"/>
          <w:color w:val="000000"/>
          <w:sz w:val="20"/>
          <w:szCs w:val="20"/>
        </w:rPr>
        <w:t>8.1.2 O representante da Administração anotará em registro próprio todas as ocorrências relacionadas com a execução do serviço, indicando dia, mês e ano, bem como o nome dos funcionários eventualmente envolvidos, determinando o que for necessário à regularização das falhas ou defeitos observados e encaminhando os apontamentos à autoridade competente para as providências cabíveis.</w:t>
      </w:r>
    </w:p>
    <w:p>
      <w:pPr>
        <w:pStyle w:val="Normal"/>
        <w:tabs>
          <w:tab w:val="clear" w:pos="720"/>
          <w:tab w:val="left" w:pos="709" w:leader="none"/>
          <w:tab w:val="left" w:pos="1990" w:leader="none"/>
        </w:tabs>
        <w:spacing w:lineRule="auto" w:line="259" w:before="0" w:after="120"/>
        <w:ind w:left="284" w:right="210"/>
        <w:jc w:val="both"/>
        <w:rPr>
          <w:rFonts w:ascii="Segoe UI" w:hAnsi="Segoe UI" w:cs="Segoe UI"/>
          <w:color w:val="000000"/>
          <w:sz w:val="20"/>
          <w:szCs w:val="20"/>
        </w:rPr>
      </w:pPr>
      <w:r>
        <w:rPr>
          <w:rFonts w:cs="Segoe UI" w:ascii="Segoe UI" w:hAnsi="Segoe UI"/>
          <w:color w:val="000000"/>
          <w:sz w:val="20"/>
          <w:szCs w:val="20"/>
        </w:rPr>
        <w:t xml:space="preserve">8.1.3 </w:t>
      </w:r>
      <w:r>
        <w:rPr>
          <w:rFonts w:cs="Segoe UI" w:ascii="Segoe UI" w:hAnsi="Segoe UI"/>
          <w:sz w:val="20"/>
          <w:szCs w:val="20"/>
        </w:rPr>
        <w:t>Os esclarecimentos solicitados pela fiscalização deverão ser prestados imediatamente, podendo ocorrer exceções, hipótese em que será fixado um prazo de acordo com a complexidade do caso.</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DO PAGAMENTO</w:t>
      </w:r>
    </w:p>
    <w:p>
      <w:pPr>
        <w:pStyle w:val="Normal"/>
        <w:widowControl/>
        <w:spacing w:lineRule="auto" w:line="259" w:before="0" w:after="120"/>
        <w:jc w:val="both"/>
        <w:rPr>
          <w:rFonts w:ascii="Segoe UI" w:hAnsi="Segoe UI" w:cs="Segoe UI"/>
          <w:sz w:val="20"/>
          <w:szCs w:val="20"/>
        </w:rPr>
      </w:pPr>
      <w:r>
        <w:rPr>
          <w:rFonts w:cs="Segoe UI" w:ascii="Segoe UI" w:hAnsi="Segoe UI"/>
          <w:bCs/>
          <w:sz w:val="20"/>
          <w:szCs w:val="20"/>
        </w:rPr>
        <w:t>9.1 O pagamento será efetuado conforme solicitação e fornecimento, a partir da apresentação da nota fiscal endereçada à CONTRATANTE (Câmara Municipal de Guarapari, CNPJ 27.467.844/0001-01),</w:t>
      </w:r>
      <w:r>
        <w:rPr>
          <w:rFonts w:cs="Segoe UI" w:ascii="Segoe UI" w:hAnsi="Segoe UI"/>
          <w:sz w:val="20"/>
          <w:szCs w:val="20"/>
        </w:rPr>
        <w:t xml:space="preserve"> sem qualquer reajuste automático de preços ou aplicação de correção monetária,</w:t>
      </w:r>
      <w:r>
        <w:rPr>
          <w:rFonts w:cs="Segoe UI" w:ascii="Segoe UI" w:hAnsi="Segoe UI"/>
          <w:bCs/>
          <w:sz w:val="20"/>
          <w:szCs w:val="20"/>
        </w:rPr>
        <w:t xml:space="preserve"> devidamente atestada pelo servidor que fiscalizará a entrega do material. </w:t>
      </w:r>
    </w:p>
    <w:p>
      <w:pPr>
        <w:pStyle w:val="Normal"/>
        <w:widowControl/>
        <w:tabs>
          <w:tab w:val="clear" w:pos="720"/>
          <w:tab w:val="left" w:pos="914" w:leader="none"/>
          <w:tab w:val="left" w:pos="9639" w:leader="none"/>
        </w:tabs>
        <w:spacing w:lineRule="auto" w:line="259" w:before="0" w:after="120"/>
        <w:ind w:right="-1"/>
        <w:jc w:val="both"/>
        <w:rPr>
          <w:rFonts w:ascii="Segoe UI" w:hAnsi="Segoe UI" w:cs="Segoe UI"/>
          <w:sz w:val="20"/>
          <w:szCs w:val="20"/>
        </w:rPr>
      </w:pPr>
      <w:r>
        <w:rPr>
          <w:rFonts w:cs="Segoe UI" w:ascii="Segoe UI" w:hAnsi="Segoe UI"/>
          <w:sz w:val="20"/>
          <w:szCs w:val="20"/>
        </w:rPr>
        <w:t>9.2 Os pagamentos serão procedidos por meio de ordem bancária, através de crédito em conta corrente em nome da CONTRATADA;</w:t>
      </w:r>
    </w:p>
    <w:p>
      <w:pPr>
        <w:pStyle w:val="Normal"/>
        <w:widowControl/>
        <w:tabs>
          <w:tab w:val="left" w:pos="720" w:leader="none"/>
          <w:tab w:val="left" w:pos="9639" w:leader="none"/>
        </w:tabs>
        <w:spacing w:lineRule="auto" w:line="259" w:before="0" w:after="120"/>
        <w:ind w:right="-1"/>
        <w:jc w:val="both"/>
        <w:rPr>
          <w:rFonts w:ascii="Segoe UI" w:hAnsi="Segoe UI" w:cs="Segoe UI"/>
          <w:sz w:val="20"/>
          <w:szCs w:val="20"/>
        </w:rPr>
      </w:pPr>
      <w:r>
        <w:rPr>
          <w:rFonts w:cs="Segoe UI" w:ascii="Segoe UI" w:hAnsi="Segoe UI"/>
          <w:sz w:val="20"/>
          <w:szCs w:val="20"/>
        </w:rPr>
        <w:t>9.3 A Nota Fiscal deverá ser obrigatoriamente eletrônica e acompanhada das seguintes comprovações:</w:t>
      </w:r>
    </w:p>
    <w:p>
      <w:pPr>
        <w:pStyle w:val="Normal"/>
        <w:widowControl/>
        <w:tabs>
          <w:tab w:val="left" w:pos="720" w:leader="none"/>
          <w:tab w:val="left" w:pos="9639" w:leader="none"/>
        </w:tabs>
        <w:spacing w:lineRule="auto" w:line="259" w:before="0" w:after="120"/>
        <w:ind w:right="-1"/>
        <w:jc w:val="both"/>
        <w:rPr>
          <w:rFonts w:ascii="Segoe UI" w:hAnsi="Segoe UI" w:cs="Segoe UI"/>
          <w:sz w:val="20"/>
          <w:szCs w:val="20"/>
        </w:rPr>
      </w:pPr>
      <w:r>
        <w:rPr>
          <w:rFonts w:cs="Segoe UI" w:ascii="Segoe UI" w:hAnsi="Segoe UI"/>
          <w:sz w:val="20"/>
          <w:szCs w:val="20"/>
          <w:u w:val="single"/>
        </w:rPr>
        <w:t>Certidões Negativas e/ou Positivas com Efeitos Negativas Federal; Estadual Sede da CONTRATADA; Estadual Sede da CONTRATANTE; Municipal Sede da CONTRATADA; Municipal Sede da CONTRATANTE; Trabalhista e; Certificado de Regularidade do FGTS</w:t>
      </w:r>
      <w:r>
        <w:rPr>
          <w:rFonts w:cs="Segoe UI" w:ascii="Segoe UI" w:hAnsi="Segoe UI"/>
          <w:sz w:val="20"/>
          <w:szCs w:val="20"/>
        </w:rPr>
        <w:t>.</w:t>
      </w:r>
    </w:p>
    <w:p>
      <w:pPr>
        <w:pStyle w:val="Normal"/>
        <w:widowControl/>
        <w:tabs>
          <w:tab w:val="clear" w:pos="720"/>
          <w:tab w:val="left" w:pos="9639" w:leader="none"/>
        </w:tabs>
        <w:spacing w:lineRule="auto" w:line="259" w:before="0" w:after="120"/>
        <w:ind w:right="-1"/>
        <w:jc w:val="both"/>
        <w:rPr>
          <w:rFonts w:ascii="Segoe UI" w:hAnsi="Segoe UI" w:cs="Segoe UI"/>
          <w:sz w:val="20"/>
          <w:szCs w:val="20"/>
        </w:rPr>
      </w:pPr>
      <w:r>
        <w:rPr>
          <w:rFonts w:cs="Segoe UI" w:ascii="Segoe UI" w:hAnsi="Segoe UI"/>
          <w:sz w:val="20"/>
          <w:szCs w:val="20"/>
        </w:rPr>
        <w:t>9.4 Nenhum pagamento será efetuado em caráter antecipado, ou antes de quitada ou relevada qualquer penalidade prevista no contrato.</w:t>
      </w:r>
    </w:p>
    <w:p>
      <w:pPr>
        <w:pStyle w:val="Normal"/>
        <w:widowControl/>
        <w:tabs>
          <w:tab w:val="clear" w:pos="720"/>
          <w:tab w:val="left" w:pos="8505" w:leader="none"/>
        </w:tabs>
        <w:spacing w:lineRule="auto" w:line="259" w:before="0" w:after="120"/>
        <w:ind w:right="-1"/>
        <w:jc w:val="both"/>
        <w:rPr>
          <w:rFonts w:ascii="Segoe UI" w:hAnsi="Segoe UI" w:cs="Segoe UI"/>
          <w:sz w:val="20"/>
          <w:szCs w:val="20"/>
        </w:rPr>
      </w:pPr>
      <w:r>
        <w:rPr>
          <w:rFonts w:cs="Segoe UI" w:ascii="Segoe UI" w:hAnsi="Segoe UI"/>
          <w:sz w:val="20"/>
          <w:szCs w:val="20"/>
        </w:rPr>
        <w:t>9.5 O prazo para pagamento da Nota Fiscal, devidamente atestada pela fiscalização, será de até 30 (trinta) dias corridos, contados da data de sua apresentação ao setor financeiro da CONTRATANTE.</w:t>
      </w:r>
    </w:p>
    <w:p>
      <w:pPr>
        <w:pStyle w:val="Normal"/>
        <w:widowControl/>
        <w:tabs>
          <w:tab w:val="clear" w:pos="720"/>
          <w:tab w:val="left" w:pos="8505" w:leader="none"/>
        </w:tabs>
        <w:spacing w:lineRule="auto" w:line="259" w:before="0" w:after="120"/>
        <w:ind w:right="-1"/>
        <w:jc w:val="both"/>
        <w:rPr>
          <w:rFonts w:ascii="Segoe UI" w:hAnsi="Segoe UI" w:cs="Segoe UI"/>
          <w:sz w:val="20"/>
          <w:szCs w:val="20"/>
        </w:rPr>
      </w:pPr>
      <w:r>
        <w:rPr>
          <w:rFonts w:cs="Segoe UI" w:ascii="Segoe UI" w:hAnsi="Segoe UI"/>
          <w:sz w:val="20"/>
          <w:szCs w:val="20"/>
        </w:rPr>
        <w:t>9.6 Constatando o CONTRATANTE qualquer divergência ou irregularidade na nota fiscal/fatura, esta será devolvida ao Fornecedor para as devidas correções, não sendo devida, neste caso, correção sobre os valores.</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cs="Segoe UI"/>
          <w:sz w:val="20"/>
          <w:szCs w:val="20"/>
        </w:rPr>
      </w:pPr>
      <w:r>
        <w:rPr>
          <w:rFonts w:eastAsia="Arial" w:cs="Segoe UI" w:ascii="Segoe UI" w:hAnsi="Segoe UI"/>
          <w:sz w:val="20"/>
          <w:szCs w:val="20"/>
        </w:rPr>
        <w:t>DO REAJUSTE</w:t>
      </w:r>
    </w:p>
    <w:p>
      <w:pPr>
        <w:pStyle w:val="Normal"/>
        <w:numPr>
          <w:ilvl w:val="1"/>
          <w:numId w:val="1"/>
        </w:numPr>
        <w:tabs>
          <w:tab w:val="clear" w:pos="720"/>
          <w:tab w:val="left" w:pos="709" w:leader="none"/>
          <w:tab w:val="left" w:pos="1269" w:leader="none"/>
          <w:tab w:val="left" w:pos="1270" w:leader="none"/>
        </w:tabs>
        <w:spacing w:lineRule="auto" w:line="259" w:before="0" w:after="120"/>
        <w:ind w:hanging="0" w:left="0" w:right="212"/>
        <w:jc w:val="both"/>
        <w:rPr>
          <w:rFonts w:ascii="Segoe UI" w:hAnsi="Segoe UI" w:cs="Segoe UI"/>
          <w:color w:val="000000"/>
          <w:sz w:val="20"/>
          <w:szCs w:val="20"/>
        </w:rPr>
      </w:pPr>
      <w:r>
        <w:rPr>
          <w:rFonts w:eastAsia="Arial" w:cs="Segoe UI" w:ascii="Segoe UI" w:hAnsi="Segoe UI"/>
          <w:color w:val="000000"/>
          <w:sz w:val="20"/>
          <w:szCs w:val="20"/>
        </w:rPr>
        <w:t>Os preços são fixos e irreajustáveis no prazo de um ano contado da data de apresentação da proposta.</w:t>
      </w:r>
    </w:p>
    <w:p>
      <w:pPr>
        <w:pStyle w:val="Heading1"/>
        <w:numPr>
          <w:ilvl w:val="0"/>
          <w:numId w:val="1"/>
        </w:numPr>
        <w:tabs>
          <w:tab w:val="clear" w:pos="720"/>
          <w:tab w:val="left" w:pos="490" w:leader="none"/>
          <w:tab w:val="left" w:pos="709" w:leader="none"/>
        </w:tabs>
        <w:spacing w:lineRule="auto" w:line="259" w:before="0" w:after="120"/>
        <w:ind w:hanging="0" w:left="0"/>
        <w:rPr>
          <w:rFonts w:ascii="Segoe UI" w:hAnsi="Segoe UI" w:eastAsia="Arial" w:cs="Segoe UI"/>
          <w:sz w:val="20"/>
          <w:szCs w:val="20"/>
        </w:rPr>
      </w:pPr>
      <w:r>
        <w:rPr>
          <w:rFonts w:eastAsia="Arial" w:cs="Segoe UI" w:ascii="Segoe UI" w:hAnsi="Segoe UI"/>
          <w:sz w:val="20"/>
          <w:szCs w:val="20"/>
        </w:rPr>
        <w:t>DAS SANÇÕES ADMINISTRATIVAS</w:t>
      </w:r>
    </w:p>
    <w:p>
      <w:pPr>
        <w:pStyle w:val="Normal"/>
        <w:spacing w:lineRule="auto" w:line="259" w:before="0" w:after="120"/>
        <w:jc w:val="both"/>
        <w:rPr>
          <w:rFonts w:ascii="Segoe UI" w:hAnsi="Segoe UI" w:cs="Segoe UI"/>
          <w:sz w:val="20"/>
          <w:szCs w:val="20"/>
        </w:rPr>
      </w:pPr>
      <w:r>
        <w:rPr>
          <w:rFonts w:cs="Segoe UI" w:ascii="Segoe UI" w:hAnsi="Segoe UI"/>
          <w:sz w:val="20"/>
          <w:szCs w:val="20"/>
        </w:rPr>
        <w:t>11.1 Pela inexecução total ou parcial do contrato a Câmara Municipal de Guarapari poderá, garantida a prévia defesa, aplicar ao contratado as seguintes sanções:</w:t>
      </w:r>
    </w:p>
    <w:p>
      <w:pPr>
        <w:pStyle w:val="Normal"/>
        <w:spacing w:lineRule="auto" w:line="259" w:before="0" w:after="60"/>
        <w:ind w:left="284"/>
        <w:jc w:val="both"/>
        <w:rPr>
          <w:rFonts w:ascii="Segoe UI" w:hAnsi="Segoe UI" w:cs="Segoe UI"/>
          <w:sz w:val="20"/>
          <w:szCs w:val="20"/>
        </w:rPr>
      </w:pPr>
      <w:r>
        <w:rPr>
          <w:rFonts w:cs="Segoe UI" w:ascii="Segoe UI" w:hAnsi="Segoe UI"/>
          <w:b/>
          <w:sz w:val="20"/>
          <w:szCs w:val="20"/>
        </w:rPr>
        <w:t>I -</w:t>
      </w:r>
      <w:r>
        <w:rPr>
          <w:rFonts w:cs="Segoe UI" w:ascii="Segoe UI" w:hAnsi="Segoe UI"/>
          <w:sz w:val="20"/>
          <w:szCs w:val="20"/>
        </w:rPr>
        <w:t xml:space="preserve"> Advertência;</w:t>
      </w:r>
    </w:p>
    <w:p>
      <w:pPr>
        <w:pStyle w:val="Normal"/>
        <w:spacing w:lineRule="auto" w:line="259" w:before="0" w:after="60"/>
        <w:ind w:left="284"/>
        <w:jc w:val="both"/>
        <w:rPr>
          <w:rFonts w:ascii="Segoe UI" w:hAnsi="Segoe UI" w:cs="Segoe UI"/>
          <w:sz w:val="20"/>
          <w:szCs w:val="20"/>
        </w:rPr>
      </w:pPr>
      <w:r>
        <w:rPr>
          <w:rFonts w:cs="Segoe UI" w:ascii="Segoe UI" w:hAnsi="Segoe UI"/>
          <w:b/>
          <w:sz w:val="20"/>
          <w:szCs w:val="20"/>
        </w:rPr>
        <w:t>II -</w:t>
      </w:r>
      <w:r>
        <w:rPr>
          <w:rFonts w:cs="Segoe UI" w:ascii="Segoe UI" w:hAnsi="Segoe UI"/>
          <w:sz w:val="20"/>
          <w:szCs w:val="20"/>
        </w:rPr>
        <w:t xml:space="preserve"> Multa moratória e/ou compensatória por perdas e danos, na forma prevista no instrumento convocatório;</w:t>
      </w:r>
    </w:p>
    <w:p>
      <w:pPr>
        <w:pStyle w:val="Normal"/>
        <w:spacing w:lineRule="auto" w:line="259" w:before="0" w:after="60"/>
        <w:ind w:left="284"/>
        <w:jc w:val="both"/>
        <w:rPr>
          <w:rFonts w:ascii="Segoe UI" w:hAnsi="Segoe UI" w:cs="Segoe UI"/>
          <w:sz w:val="20"/>
          <w:szCs w:val="20"/>
        </w:rPr>
      </w:pPr>
      <w:r>
        <w:rPr>
          <w:rFonts w:cs="Segoe UI" w:ascii="Segoe UI" w:hAnsi="Segoe UI"/>
          <w:b/>
          <w:sz w:val="20"/>
          <w:szCs w:val="20"/>
        </w:rPr>
        <w:t>III -</w:t>
      </w:r>
      <w:r>
        <w:rPr>
          <w:rFonts w:cs="Segoe UI" w:ascii="Segoe UI" w:hAnsi="Segoe UI"/>
          <w:sz w:val="20"/>
          <w:szCs w:val="20"/>
        </w:rPr>
        <w:t xml:space="preserve"> Suspensão temporária de participação em licitação e impedimento de contratar com a Administração, por prazo não superior a 02 (dois) anos;</w:t>
      </w:r>
    </w:p>
    <w:p>
      <w:pPr>
        <w:pStyle w:val="Normal"/>
        <w:spacing w:lineRule="auto" w:line="259" w:before="0" w:after="60"/>
        <w:ind w:left="284"/>
        <w:jc w:val="both"/>
        <w:rPr>
          <w:rFonts w:ascii="Segoe UI" w:hAnsi="Segoe UI" w:cs="Segoe UI"/>
          <w:b/>
          <w:sz w:val="20"/>
          <w:szCs w:val="20"/>
        </w:rPr>
      </w:pPr>
      <w:r>
        <w:rPr>
          <w:rFonts w:cs="Segoe UI" w:ascii="Segoe UI" w:hAnsi="Segoe UI"/>
          <w:b/>
          <w:sz w:val="20"/>
          <w:szCs w:val="20"/>
        </w:rPr>
        <w:t>IV -</w:t>
      </w:r>
      <w:r>
        <w:rPr>
          <w:rFonts w:cs="Segoe UI" w:ascii="Segoe UI" w:hAnsi="Segoe UI"/>
          <w:sz w:val="20"/>
          <w:szCs w:val="20"/>
        </w:rPr>
        <w:t xml:space="preserve">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pPr>
        <w:pStyle w:val="Normal"/>
        <w:spacing w:lineRule="auto" w:line="259" w:before="0" w:after="120"/>
        <w:ind w:left="284"/>
        <w:jc w:val="both"/>
        <w:rPr>
          <w:rFonts w:ascii="Segoe UI" w:hAnsi="Segoe UI" w:cs="Segoe UI"/>
          <w:sz w:val="20"/>
          <w:szCs w:val="20"/>
        </w:rPr>
      </w:pPr>
      <w:r>
        <w:rPr>
          <w:rFonts w:cs="Segoe UI" w:ascii="Segoe UI" w:hAnsi="Segoe UI"/>
          <w:b/>
          <w:sz w:val="20"/>
          <w:szCs w:val="20"/>
        </w:rPr>
        <w:t>V -</w:t>
      </w:r>
      <w:r>
        <w:rPr>
          <w:rFonts w:cs="Segoe UI" w:ascii="Segoe UI" w:hAnsi="Segoe UI"/>
          <w:sz w:val="20"/>
          <w:szCs w:val="20"/>
        </w:rPr>
        <w:t xml:space="preserve"> Impedimento de licitar e contratar com o Poder Legislativo Municipal pelo prazo de até 05 (cinco) anos, sem prejuízo das multas previstas em edital e no contrato e das demais cominações legais.</w:t>
      </w:r>
    </w:p>
    <w:p>
      <w:pPr>
        <w:pStyle w:val="Normal"/>
        <w:spacing w:lineRule="auto" w:line="259" w:before="0" w:after="120"/>
        <w:jc w:val="both"/>
        <w:rPr>
          <w:rFonts w:ascii="Segoe UI" w:hAnsi="Segoe UI" w:cs="Segoe UI"/>
          <w:sz w:val="20"/>
          <w:szCs w:val="20"/>
        </w:rPr>
      </w:pPr>
      <w:r>
        <w:rPr>
          <w:rFonts w:cs="Segoe UI" w:ascii="Segoe UI" w:hAnsi="Segoe UI"/>
          <w:sz w:val="20"/>
          <w:szCs w:val="20"/>
        </w:rPr>
        <w:t>11.2 Os procedimentos administrativos para aplicação das sanções administrativas obedecerão ao disposto na Instrução Normativa SCL nº 001/2020, aprovada pela Portaria nº 6.546/2020.</w:t>
      </w:r>
    </w:p>
    <w:p>
      <w:pPr>
        <w:pStyle w:val="Normal"/>
        <w:widowControl/>
        <w:spacing w:lineRule="auto" w:line="259" w:before="0" w:after="120"/>
        <w:jc w:val="both"/>
        <w:rPr>
          <w:rFonts w:ascii="Segoe UI" w:hAnsi="Segoe UI" w:cs="Segoe UI"/>
          <w:b/>
          <w:sz w:val="20"/>
          <w:szCs w:val="20"/>
        </w:rPr>
      </w:pPr>
      <w:r>
        <w:rPr>
          <w:rFonts w:cs="Segoe UI" w:ascii="Segoe UI" w:hAnsi="Segoe UI"/>
          <w:b/>
          <w:sz w:val="20"/>
          <w:szCs w:val="20"/>
        </w:rPr>
        <w:t>12.   DA DOTAÇÃO ORÇAMENTÁRIA:</w:t>
      </w:r>
    </w:p>
    <w:p>
      <w:pPr>
        <w:pStyle w:val="Normal"/>
        <w:widowControl/>
        <w:spacing w:lineRule="auto" w:line="259" w:before="0" w:after="120"/>
        <w:jc w:val="both"/>
        <w:rPr>
          <w:rFonts w:ascii="Segoe UI" w:hAnsi="Segoe UI" w:cs="Segoe UI"/>
          <w:sz w:val="20"/>
          <w:szCs w:val="20"/>
        </w:rPr>
      </w:pPr>
      <w:r>
        <w:rPr>
          <w:rFonts w:cs="Segoe UI" w:ascii="Segoe UI" w:hAnsi="Segoe UI"/>
          <w:sz w:val="20"/>
          <w:szCs w:val="20"/>
        </w:rPr>
        <w:t>12.1 As despesas inerentes a este Termo de Referência correrão à conta do orçamento da CONTRATANTE, para o corrente exercício, cujo Elemento de Despesa será oportunamente informado pelo Setor contábil.</w:t>
      </w:r>
    </w:p>
    <w:p>
      <w:pPr>
        <w:pStyle w:val="Normal"/>
        <w:widowControl/>
        <w:spacing w:lineRule="auto" w:line="259" w:before="0" w:after="120"/>
        <w:jc w:val="both"/>
        <w:rPr>
          <w:rFonts w:ascii="Segoe UI" w:hAnsi="Segoe UI" w:cs="Segoe UI"/>
          <w:sz w:val="20"/>
          <w:szCs w:val="20"/>
        </w:rPr>
      </w:pPr>
      <w:r>
        <w:rPr>
          <w:rFonts w:cs="Segoe UI" w:ascii="Segoe UI" w:hAnsi="Segoe UI"/>
          <w:b/>
          <w:sz w:val="20"/>
          <w:szCs w:val="20"/>
        </w:rPr>
        <w:t>13.   DO VALOR DA CONTRATAÇÃO DE ACEITABILIDADE DA PROPOSTA:</w:t>
      </w:r>
    </w:p>
    <w:p>
      <w:pPr>
        <w:pStyle w:val="Normal"/>
        <w:widowControl/>
        <w:spacing w:lineRule="auto" w:line="259" w:before="0" w:after="120"/>
        <w:jc w:val="both"/>
        <w:rPr>
          <w:rFonts w:ascii="Segoe UI" w:hAnsi="Segoe UI" w:cs="Segoe UI"/>
          <w:sz w:val="20"/>
          <w:szCs w:val="20"/>
        </w:rPr>
      </w:pPr>
      <w:r>
        <w:rPr>
          <w:rFonts w:cs="Segoe UI" w:ascii="Segoe UI" w:hAnsi="Segoe UI"/>
          <w:sz w:val="20"/>
          <w:szCs w:val="20"/>
        </w:rPr>
        <w:t>13.1 O valor aceito para contratação deverá conter somente 02 (duas) casas decimais depois da vírgula (R$ x,xx), e estar compatível com o valor de mercado, estabelecido através de pesquisa de preços e expresso no mapa comparativo de preços;</w:t>
      </w:r>
    </w:p>
    <w:p>
      <w:pPr>
        <w:pStyle w:val="Normal"/>
        <w:widowControl/>
        <w:spacing w:lineRule="auto" w:line="259" w:before="0" w:after="120"/>
        <w:jc w:val="both"/>
        <w:rPr>
          <w:rFonts w:ascii="Segoe UI" w:hAnsi="Segoe UI" w:cs="Segoe UI"/>
          <w:sz w:val="20"/>
          <w:szCs w:val="20"/>
        </w:rPr>
      </w:pPr>
      <w:r>
        <w:rPr>
          <w:rFonts w:cs="Segoe UI" w:ascii="Segoe UI" w:hAnsi="Segoe UI"/>
          <w:sz w:val="20"/>
          <w:szCs w:val="20"/>
        </w:rPr>
        <w:t xml:space="preserve">13.2 Será vencedora a proposta que ofertar o </w:t>
      </w:r>
      <w:r>
        <w:rPr>
          <w:rFonts w:cs="Segoe UI" w:ascii="Segoe UI" w:hAnsi="Segoe UI"/>
          <w:b/>
          <w:bCs/>
          <w:sz w:val="20"/>
          <w:szCs w:val="20"/>
        </w:rPr>
        <w:t>MENOR PREÇO GLOBAL</w:t>
      </w:r>
      <w:r>
        <w:rPr>
          <w:rFonts w:cs="Segoe UI" w:ascii="Segoe UI" w:hAnsi="Segoe UI"/>
          <w:sz w:val="20"/>
          <w:szCs w:val="20"/>
        </w:rPr>
        <w:t xml:space="preserve">, desde que atendidos os requisitos previstos neste Termo; </w:t>
      </w:r>
    </w:p>
    <w:p>
      <w:pPr>
        <w:pStyle w:val="Normal"/>
        <w:widowControl/>
        <w:spacing w:lineRule="auto" w:line="259" w:before="0" w:after="120"/>
        <w:jc w:val="both"/>
        <w:rPr>
          <w:rFonts w:ascii="Segoe UI" w:hAnsi="Segoe UI" w:cs="Segoe UI"/>
          <w:sz w:val="20"/>
          <w:szCs w:val="20"/>
        </w:rPr>
      </w:pPr>
      <w:r>
        <w:rPr>
          <w:rFonts w:cs="Segoe UI" w:ascii="Segoe UI" w:hAnsi="Segoe UI"/>
          <w:sz w:val="20"/>
          <w:szCs w:val="20"/>
        </w:rPr>
        <w:t>13.3 Na proposta de preço devem estar incluídos todos os custos, como transporte, tributos de qualquer natureza e todas as despesas diretas ou indiretas relacionadas com os objetos da contratação;</w:t>
      </w:r>
    </w:p>
    <w:p>
      <w:pPr>
        <w:pStyle w:val="Normal"/>
        <w:widowControl/>
        <w:spacing w:lineRule="auto" w:line="259" w:before="0" w:after="120"/>
        <w:jc w:val="both"/>
        <w:rPr>
          <w:rFonts w:ascii="Segoe UI" w:hAnsi="Segoe UI" w:cs="Segoe UI"/>
          <w:sz w:val="20"/>
          <w:szCs w:val="20"/>
        </w:rPr>
      </w:pPr>
      <w:r>
        <w:rPr>
          <w:rFonts w:cs="Segoe UI" w:ascii="Segoe UI" w:hAnsi="Segoe UI"/>
          <w:sz w:val="20"/>
          <w:szCs w:val="20"/>
        </w:rPr>
        <w:t>13.4 A proposta de preço deve informar a validade, que não poderá ser inferior a 60 (sessenta) dias;</w:t>
      </w:r>
    </w:p>
    <w:p>
      <w:pPr>
        <w:pStyle w:val="Heading1"/>
        <w:tabs>
          <w:tab w:val="clear" w:pos="720"/>
          <w:tab w:val="left" w:pos="490" w:leader="none"/>
          <w:tab w:val="left" w:pos="709" w:leader="none"/>
        </w:tabs>
        <w:spacing w:lineRule="auto" w:line="259" w:before="0" w:after="120"/>
        <w:ind w:hanging="0" w:left="0"/>
        <w:rPr>
          <w:rFonts w:ascii="Segoe UI" w:hAnsi="Segoe UI" w:cs="Segoe UI"/>
          <w:sz w:val="20"/>
          <w:szCs w:val="20"/>
        </w:rPr>
      </w:pPr>
      <w:r>
        <w:rPr>
          <w:rFonts w:eastAsia="Arial" w:cs="Segoe UI" w:ascii="Segoe UI" w:hAnsi="Segoe UI"/>
          <w:sz w:val="20"/>
          <w:szCs w:val="20"/>
        </w:rPr>
        <w:t>14.   DA CLASSIFICAÇÃO DOS BENS COMUNS</w:t>
      </w:r>
    </w:p>
    <w:p>
      <w:pPr>
        <w:pStyle w:val="Normal"/>
        <w:tabs>
          <w:tab w:val="clear" w:pos="720"/>
          <w:tab w:val="left" w:pos="709" w:leader="none"/>
          <w:tab w:val="left" w:pos="1270" w:leader="none"/>
        </w:tabs>
        <w:spacing w:lineRule="auto" w:line="259" w:before="0" w:after="120"/>
        <w:ind w:right="214"/>
        <w:jc w:val="both"/>
        <w:rPr>
          <w:rFonts w:ascii="Segoe UI" w:hAnsi="Segoe UI" w:eastAsia="Arial" w:cs="Segoe UI"/>
          <w:color w:val="000000"/>
          <w:sz w:val="20"/>
          <w:szCs w:val="20"/>
        </w:rPr>
      </w:pPr>
      <w:r>
        <w:rPr>
          <w:rFonts w:eastAsia="Arial" w:cs="Segoe UI" w:ascii="Segoe UI" w:hAnsi="Segoe UI"/>
          <w:color w:val="000000"/>
          <w:sz w:val="20"/>
          <w:szCs w:val="20"/>
        </w:rPr>
        <w:t>14.1 Consideram-se bens e serviços comuns, para os fins e efeitos do Decreto nº 10.818, de 27 de setembro de 2021, que regulamenta o disposto no art. 20 da Lei nº 14.133, de 1º de abril de 2021, para estabelecer o enquadramento dos bens de consumo adquiridos para suprir as demandas das estruturas da administração pública nas categorias de qualidade comum e de luxo, aqueles cujos padrões de desempenho e qualidade possam ser objetivamente definidos no Termo de Referência, por meio de especificações usuais no mercado.</w:t>
      </w:r>
    </w:p>
    <w:p>
      <w:pPr>
        <w:pStyle w:val="Heading1"/>
        <w:tabs>
          <w:tab w:val="clear" w:pos="720"/>
          <w:tab w:val="left" w:pos="426" w:leader="none"/>
        </w:tabs>
        <w:spacing w:lineRule="auto" w:line="259" w:before="0" w:after="120"/>
        <w:ind w:hanging="0" w:left="0"/>
        <w:rPr>
          <w:rFonts w:ascii="Segoe UI" w:hAnsi="Segoe UI" w:cs="Segoe UI"/>
          <w:sz w:val="20"/>
          <w:szCs w:val="20"/>
        </w:rPr>
      </w:pPr>
      <w:r>
        <w:rPr>
          <w:rFonts w:eastAsia="Arial" w:cs="Segoe UI" w:ascii="Segoe UI" w:hAnsi="Segoe UI"/>
          <w:sz w:val="20"/>
          <w:szCs w:val="20"/>
        </w:rPr>
        <w:t>15.   DAS CONSIDERAÇÕES FINAIS</w:t>
      </w:r>
    </w:p>
    <w:p>
      <w:pPr>
        <w:pStyle w:val="Normal"/>
        <w:tabs>
          <w:tab w:val="clear" w:pos="720"/>
          <w:tab w:val="left" w:pos="709" w:leader="none"/>
        </w:tabs>
        <w:spacing w:lineRule="auto" w:line="259" w:before="0" w:after="120"/>
        <w:ind w:right="213"/>
        <w:jc w:val="both"/>
        <w:rPr>
          <w:rFonts w:ascii="Segoe UI" w:hAnsi="Segoe UI" w:eastAsia="Arial" w:cs="Segoe UI"/>
          <w:color w:val="000000"/>
          <w:sz w:val="20"/>
          <w:szCs w:val="20"/>
        </w:rPr>
      </w:pPr>
      <w:r>
        <w:rPr>
          <w:rFonts w:eastAsia="Arial" w:cs="Segoe UI" w:ascii="Segoe UI" w:hAnsi="Segoe UI"/>
          <w:color w:val="000000"/>
          <w:sz w:val="20"/>
          <w:szCs w:val="20"/>
        </w:rPr>
        <w:t>15.1 O documento apresentado descreve de maneira adequada o planejamento da contratação, permitindo a avaliação de custos e demandas, e possui anexo os orçamentos e planilhas de preços de mercado, definindo a sistemática de suprimento, critérios de aceitação do objeto, deveres do Licitante e da Administração, procedimentos de fiscalização, prazos de entrega e a possibilidade de sanções administrativas, de forma clara, concisa e objetiva.</w:t>
      </w:r>
    </w:p>
    <w:p>
      <w:pPr>
        <w:pStyle w:val="Normal"/>
        <w:widowControl/>
        <w:rPr>
          <w:rFonts w:ascii="Segoe UI" w:hAnsi="Segoe UI" w:cs="Segoe UI"/>
          <w:b/>
          <w:sz w:val="20"/>
          <w:szCs w:val="20"/>
        </w:rPr>
      </w:pPr>
      <w:r>
        <w:rPr>
          <w:rFonts w:cs="Segoe UI" w:ascii="Segoe UI" w:hAnsi="Segoe UI"/>
          <w:b/>
          <w:sz w:val="20"/>
          <w:szCs w:val="20"/>
        </w:rPr>
        <w:t>16.   ESPECIFICAÇÃO DETALHADA DO PRODUTO / MODELO</w:t>
      </w:r>
    </w:p>
    <w:p>
      <w:pPr>
        <w:pStyle w:val="Normal"/>
        <w:widowControl/>
        <w:rPr>
          <w:rFonts w:ascii="Segoe UI" w:hAnsi="Segoe UI" w:cs="Segoe UI"/>
          <w:b/>
          <w:sz w:val="20"/>
          <w:szCs w:val="20"/>
        </w:rPr>
      </w:pPr>
      <w:r>
        <w:rPr>
          <w:rFonts w:cs="Segoe UI" w:ascii="Segoe UI" w:hAnsi="Segoe UI"/>
          <w:b/>
          <w:sz w:val="20"/>
          <w:szCs w:val="20"/>
        </w:rPr>
      </w:r>
    </w:p>
    <w:tbl>
      <w:tblPr>
        <w:tblW w:w="10146" w:type="dxa"/>
        <w:jc w:val="left"/>
        <w:tblInd w:w="137" w:type="dxa"/>
        <w:tblLayout w:type="fixed"/>
        <w:tblCellMar>
          <w:top w:w="0" w:type="dxa"/>
          <w:left w:w="108" w:type="dxa"/>
          <w:bottom w:w="0" w:type="dxa"/>
          <w:right w:w="108" w:type="dxa"/>
        </w:tblCellMar>
        <w:tblLook w:firstRow="0" w:noVBand="0" w:lastRow="0" w:firstColumn="0" w:lastColumn="0" w:noHBand="0" w:val="0000"/>
      </w:tblPr>
      <w:tblGrid>
        <w:gridCol w:w="959"/>
        <w:gridCol w:w="7090"/>
        <w:gridCol w:w="993"/>
        <w:gridCol w:w="1104"/>
      </w:tblGrid>
      <w:tr>
        <w:trPr>
          <w:trHeight w:val="309" w:hRule="atLeast"/>
        </w:trPr>
        <w:tc>
          <w:tcPr>
            <w:tcW w:w="959" w:type="dxa"/>
            <w:tcBorders>
              <w:top w:val="single" w:sz="12" w:space="0" w:color="000000"/>
              <w:left w:val="single" w:sz="12" w:space="0" w:color="000000"/>
              <w:bottom w:val="single" w:sz="12" w:space="0" w:color="000000"/>
              <w:right w:val="single" w:sz="12" w:space="0" w:color="000000"/>
            </w:tcBorders>
          </w:tcPr>
          <w:p>
            <w:pPr>
              <w:pStyle w:val="Normal"/>
              <w:tabs>
                <w:tab w:val="clear" w:pos="720"/>
                <w:tab w:val="left" w:pos="709" w:leader="none"/>
              </w:tabs>
              <w:spacing w:lineRule="auto" w:line="252" w:before="0" w:after="60"/>
              <w:ind w:left="131" w:right="123"/>
              <w:jc w:val="center"/>
              <w:rPr>
                <w:rFonts w:ascii="Segoe UI" w:hAnsi="Segoe UI" w:eastAsia="Arial" w:cs="Segoe UI"/>
                <w:b/>
                <w:color w:val="000000"/>
                <w:sz w:val="20"/>
                <w:szCs w:val="20"/>
              </w:rPr>
            </w:pPr>
            <w:r>
              <w:rPr>
                <w:rFonts w:eastAsia="Arial" w:cs="Segoe UI" w:ascii="Segoe UI" w:hAnsi="Segoe UI"/>
                <w:b/>
                <w:color w:val="000000"/>
                <w:sz w:val="20"/>
                <w:szCs w:val="20"/>
              </w:rPr>
              <w:t>Item</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Normal"/>
              <w:spacing w:lineRule="auto" w:line="252" w:before="0" w:after="60"/>
              <w:jc w:val="center"/>
              <w:rPr>
                <w:rFonts w:ascii="Segoe UI" w:hAnsi="Segoe UI" w:eastAsia="Arial" w:cs="Segoe UI"/>
                <w:b/>
                <w:color w:val="000000"/>
                <w:sz w:val="20"/>
                <w:szCs w:val="20"/>
              </w:rPr>
            </w:pPr>
            <w:r>
              <w:rPr>
                <w:rFonts w:eastAsia="Arial" w:cs="Segoe UI" w:ascii="Segoe UI" w:hAnsi="Segoe UI"/>
                <w:b/>
                <w:color w:val="000000"/>
                <w:sz w:val="20"/>
                <w:szCs w:val="20"/>
              </w:rPr>
              <w:t>Descrição</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Normal"/>
              <w:tabs>
                <w:tab w:val="clear" w:pos="720"/>
                <w:tab w:val="left" w:pos="709" w:leader="none"/>
              </w:tabs>
              <w:spacing w:lineRule="auto" w:line="252" w:before="0" w:after="60"/>
              <w:ind w:right="-15"/>
              <w:jc w:val="center"/>
              <w:rPr>
                <w:rFonts w:ascii="Segoe UI" w:hAnsi="Segoe UI" w:eastAsia="Arial" w:cs="Segoe UI"/>
                <w:b/>
                <w:color w:val="000000"/>
                <w:sz w:val="20"/>
                <w:szCs w:val="20"/>
              </w:rPr>
            </w:pPr>
            <w:r>
              <w:rPr>
                <w:rFonts w:eastAsia="Arial" w:cs="Segoe UI" w:ascii="Segoe UI" w:hAnsi="Segoe UI"/>
                <w:b/>
                <w:color w:val="000000"/>
                <w:sz w:val="20"/>
                <w:szCs w:val="20"/>
              </w:rPr>
              <w:t>Unidade</w:t>
            </w:r>
          </w:p>
        </w:tc>
        <w:tc>
          <w:tcPr>
            <w:tcW w:w="1104" w:type="dxa"/>
            <w:tcBorders>
              <w:top w:val="single" w:sz="12" w:space="0" w:color="000000"/>
              <w:left w:val="single" w:sz="12" w:space="0" w:color="000000"/>
              <w:bottom w:val="single" w:sz="12" w:space="0" w:color="000000"/>
              <w:right w:val="single" w:sz="12" w:space="0" w:color="000000"/>
            </w:tcBorders>
          </w:tcPr>
          <w:p>
            <w:pPr>
              <w:pStyle w:val="Normal"/>
              <w:tabs>
                <w:tab w:val="clear" w:pos="720"/>
                <w:tab w:val="left" w:pos="709" w:leader="none"/>
              </w:tabs>
              <w:spacing w:lineRule="auto" w:line="252" w:before="0" w:after="60"/>
              <w:ind w:right="-15"/>
              <w:jc w:val="center"/>
              <w:rPr>
                <w:rFonts w:ascii="Segoe UI" w:hAnsi="Segoe UI" w:eastAsia="Arial" w:cs="Segoe UI"/>
                <w:b/>
                <w:color w:val="000000"/>
                <w:sz w:val="20"/>
                <w:szCs w:val="20"/>
              </w:rPr>
            </w:pPr>
            <w:r>
              <w:rPr>
                <w:rFonts w:eastAsia="Arial" w:cs="Segoe UI" w:ascii="Segoe UI" w:hAnsi="Segoe UI"/>
                <w:b/>
                <w:color w:val="000000"/>
                <w:sz w:val="20"/>
                <w:szCs w:val="20"/>
              </w:rPr>
              <w:t>Q</w:t>
            </w:r>
            <w:r>
              <w:rPr>
                <w:rFonts w:eastAsia="Arial" w:cs="Segoe UI" w:ascii="Segoe UI" w:hAnsi="Segoe UI"/>
                <w:b/>
                <w:color w:val="000000"/>
                <w:sz w:val="20"/>
                <w:szCs w:val="20"/>
              </w:rPr>
              <w:t>t</w:t>
            </w:r>
            <w:r>
              <w:rPr>
                <w:rFonts w:eastAsia="Arial" w:cs="Segoe UI" w:ascii="Segoe UI" w:hAnsi="Segoe UI"/>
                <w:b/>
                <w:color w:val="000000"/>
                <w:sz w:val="20"/>
                <w:szCs w:val="20"/>
              </w:rPr>
              <w:t>de.</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COADOR DE PANO PARA CAFE C/ CABO ARAME GALV REVESTIDO</w:t>
            </w:r>
            <w:r>
              <w:rPr>
                <w:rFonts w:cs="Segoe UI" w:ascii="Segoe UI" w:hAnsi="Segoe UI"/>
                <w:color w:val="000000"/>
                <w:sz w:val="20"/>
                <w:szCs w:val="20"/>
              </w:rPr>
              <w:t>; Coador de pano para café; tamanho: grande; material: flanela 100% algodão, aro de arame galvanizado, cabo revestido em plástico; diâmetro aproximado do aro: 16cm; comprimento aproximado do cabo: 10 cm; capacidade: 2 litros</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10</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COPO DE VIDRO</w:t>
            </w:r>
            <w:r>
              <w:rPr>
                <w:rFonts w:cs="Segoe UI" w:ascii="Segoe UI" w:hAnsi="Segoe UI"/>
                <w:color w:val="000000"/>
                <w:sz w:val="20"/>
                <w:szCs w:val="20"/>
              </w:rPr>
              <w:t>; Copo de vidro; tipo: copo taça pé curto; cor: incolor transparente; capacidade aproximada: 260 ml; formato: cilíndrico uniforme com diâmetro da boca ligeiramente menor que o do fundo do bojo, haste grossa e base redonda; diâmetro aproximado boca: 64mm; diâmetro aproximado da base: 62mm; altura do copo: 11cm</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24</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3</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COPO DESCARTÁVEL PLAST 200ML C/ 100 UNI</w:t>
            </w:r>
            <w:r>
              <w:rPr>
                <w:rFonts w:cs="Segoe UI" w:ascii="Segoe UI" w:hAnsi="Segoe UI"/>
                <w:color w:val="000000"/>
                <w:sz w:val="20"/>
                <w:szCs w:val="20"/>
              </w:rPr>
              <w:t>; Copo descartável; indicação de uso: água e refrigerante; material: poliestireno, atóxico; cor: branco; capacidade: 200 ml; normas: NBR 14865/2012 e NBR 13230; pacote com 100 copos</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PCT</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jc w:val="center"/>
              <w:rPr>
                <w:rFonts w:ascii="Segoe UI" w:hAnsi="Segoe UI" w:cs="Segoe UI"/>
                <w:color w:val="000000"/>
                <w:sz w:val="20"/>
                <w:szCs w:val="20"/>
              </w:rPr>
            </w:pPr>
            <w:r>
              <w:rPr>
                <w:rFonts w:cs="Segoe UI" w:ascii="Segoe UI" w:hAnsi="Segoe UI"/>
                <w:color w:val="000000"/>
                <w:sz w:val="20"/>
                <w:szCs w:val="20"/>
              </w:rPr>
            </w:r>
          </w:p>
          <w:p>
            <w:pPr>
              <w:pStyle w:val="Contedodatabela"/>
              <w:jc w:val="center"/>
              <w:rPr>
                <w:rFonts w:ascii="Segoe UI" w:hAnsi="Segoe UI" w:cs="Segoe UI"/>
                <w:color w:val="000000"/>
                <w:sz w:val="20"/>
                <w:szCs w:val="20"/>
              </w:rPr>
            </w:pPr>
            <w:r>
              <w:rPr>
                <w:rFonts w:cs="Segoe UI" w:ascii="Segoe UI" w:hAnsi="Segoe UI"/>
                <w:color w:val="000000"/>
                <w:sz w:val="20"/>
                <w:szCs w:val="20"/>
              </w:rPr>
              <w:t>900</w:t>
            </w:r>
          </w:p>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4</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COPO DESCARTÁVEL PLAST 50ML C/ 100 UNI;</w:t>
            </w:r>
            <w:r>
              <w:rPr>
                <w:rFonts w:cs="Segoe UI" w:ascii="Segoe UI" w:hAnsi="Segoe UI"/>
                <w:color w:val="000000"/>
                <w:sz w:val="20"/>
                <w:szCs w:val="20"/>
              </w:rPr>
              <w:t xml:space="preserve"> Copo descartável; indicação de uso: café; material: poliestireno, atóxico; cor: branco; capacidade: 50 ml; normas: NBR 14865/2012 e NBR 13230; pacote com 100 copos</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PCT</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450</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5</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DESCANSO INOX PARA COPO</w:t>
            </w:r>
            <w:r>
              <w:rPr>
                <w:rFonts w:cs="Segoe UI" w:ascii="Segoe UI" w:hAnsi="Segoe UI"/>
                <w:color w:val="000000"/>
                <w:sz w:val="20"/>
                <w:szCs w:val="20"/>
              </w:rPr>
              <w:t>; Descanso para copo: formato redondo, confeccionado em aço inoxidável, base medindo no mínimo 85mm de diâmetro, fundo com vincos anti sucção pós condensação, com bordas sobressaltadas.</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25</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6</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GARRAFA TÉRMICA INOX 1,8L</w:t>
            </w:r>
            <w:r>
              <w:rPr>
                <w:rFonts w:cs="Segoe UI" w:ascii="Segoe UI" w:hAnsi="Segoe UI"/>
                <w:color w:val="000000"/>
                <w:sz w:val="20"/>
                <w:szCs w:val="20"/>
              </w:rPr>
              <w:t>; Garrafa térmica; material externo: plástico/inox; acabamento: lisa com camada protetora verniz; cor: metálica(inox); material ampola: vidro; abertura/fechamento: rosca; sistema: bomba de pressão acionado por botão ; capacidade: 1,8 litro; com alça para transporte; NBR: 13282; garantia: 6 meses contra defeitos de fabricação</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20</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7</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GARRAFA TÉRMICA INOX 1L</w:t>
            </w:r>
            <w:r>
              <w:rPr>
                <w:rFonts w:cs="Segoe UI" w:ascii="Segoe UI" w:hAnsi="Segoe UI"/>
                <w:color w:val="000000"/>
                <w:sz w:val="20"/>
                <w:szCs w:val="20"/>
              </w:rPr>
              <w:t>; Garrafa térmica; material externo: plástico/inox; acabamento: lisa com camada protetora verniz; cor: metálica(inox); material ampola: vidro; abertura/fechamento: rosca; sistema: bomba de pressão acionado por botão ; capacidade: 1 litro; com alça para transporte; NBR: 13282; garantia: 6 meses contra defeitos de fabricação</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20</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8</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GARRAFA TÉRMICA INOX 500ML</w:t>
            </w:r>
            <w:r>
              <w:rPr>
                <w:rFonts w:cs="Segoe UI" w:ascii="Segoe UI" w:hAnsi="Segoe UI"/>
                <w:color w:val="000000"/>
                <w:sz w:val="20"/>
                <w:szCs w:val="20"/>
              </w:rPr>
              <w:t>; Garrafa térmica; material externo: plástico/inox; acabamento: lisa com camada protetora verniz; cor: metálica(inox); material ampola: vidro; abertura/fechamento: rosca; sistema: bomba de pressão acionado por botão ; capacidade: 500 ml; com alça para transporte; NBR: 13282; garantia: 6 meses contra defeitos de fabricação</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35</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9</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GUARDANAPO 21 X 22 CM PCT C/ 50 UNI</w:t>
            </w:r>
            <w:r>
              <w:rPr>
                <w:rFonts w:cs="Segoe UI" w:ascii="Segoe UI" w:hAnsi="Segoe UI"/>
                <w:color w:val="000000"/>
                <w:sz w:val="20"/>
                <w:szCs w:val="20"/>
              </w:rPr>
              <w:t>; Guardanapo descartável de papel; material: papel folha simples – gofrado; cor: branco; largura: 21 cm; comprimento: 22 cm (as dimensões poderão variar ligeiramente para mais) embalagem: pacote 50 folhas</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60</w:t>
            </w:r>
          </w:p>
        </w:tc>
      </w:tr>
      <w:tr>
        <w:trPr>
          <w:trHeight w:val="964" w:hRule="atLeast"/>
        </w:trPr>
        <w:tc>
          <w:tcPr>
            <w:tcW w:w="959"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10</w:t>
            </w:r>
          </w:p>
        </w:tc>
        <w:tc>
          <w:tcPr>
            <w:tcW w:w="7090" w:type="dxa"/>
            <w:tcBorders>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JARRA DE AÇO INOX 2,5L</w:t>
            </w:r>
            <w:r>
              <w:rPr>
                <w:rFonts w:cs="Segoe UI" w:ascii="Segoe UI" w:hAnsi="Segoe UI"/>
                <w:b w:val="false"/>
                <w:bCs w:val="false"/>
                <w:color w:val="000000"/>
                <w:sz w:val="20"/>
                <w:szCs w:val="20"/>
              </w:rPr>
              <w:t xml:space="preserve">; </w:t>
            </w:r>
            <w:r>
              <w:rPr>
                <w:rFonts w:cs="Segoe UI" w:ascii="Segoe UI" w:hAnsi="Segoe UI"/>
                <w:color w:val="000000"/>
                <w:sz w:val="20"/>
                <w:szCs w:val="20"/>
              </w:rPr>
              <w:t>Jarra; material: aço inox; acabamento: liso em alto brilho; cor: metálico inox; tampa: meia tampa fixa com aparador de gelo; alça: com alça; capacidade: de 2,5 litros</w:t>
            </w:r>
          </w:p>
        </w:tc>
        <w:tc>
          <w:tcPr>
            <w:tcW w:w="993"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4</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11</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JARRA DE PLÁSTICO 3L</w:t>
            </w:r>
            <w:r>
              <w:rPr>
                <w:rFonts w:cs="Segoe UI" w:ascii="Segoe UI" w:hAnsi="Segoe UI"/>
                <w:color w:val="000000"/>
                <w:sz w:val="20"/>
                <w:szCs w:val="20"/>
              </w:rPr>
              <w:t>; Jarra; material: polipropileno; acabamento: liso; cor: incolor; com tampa; com alça; diâmetro: aproximadamente 14cm; altura: aproximadamente 26cm; capacidade: de 3 litros; Marca referência: plasvale</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10</w:t>
            </w:r>
          </w:p>
        </w:tc>
      </w:tr>
      <w:tr>
        <w:trPr>
          <w:trHeight w:val="964" w:hRule="atLeast"/>
        </w:trPr>
        <w:tc>
          <w:tcPr>
            <w:tcW w:w="959"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12</w:t>
            </w:r>
          </w:p>
        </w:tc>
        <w:tc>
          <w:tcPr>
            <w:tcW w:w="7090" w:type="dxa"/>
            <w:tcBorders>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JARRA DE VIDRO 1,5L</w:t>
            </w:r>
            <w:r>
              <w:rPr>
                <w:rFonts w:cs="Segoe UI" w:ascii="Segoe UI" w:hAnsi="Segoe UI"/>
                <w:b w:val="false"/>
                <w:bCs w:val="false"/>
                <w:color w:val="000000"/>
                <w:sz w:val="20"/>
                <w:szCs w:val="20"/>
              </w:rPr>
              <w:t>;</w:t>
            </w:r>
            <w:r>
              <w:rPr>
                <w:rFonts w:cs="Segoe UI" w:ascii="Segoe UI" w:hAnsi="Segoe UI"/>
                <w:b/>
                <w:bCs/>
                <w:color w:val="000000"/>
                <w:sz w:val="20"/>
                <w:szCs w:val="20"/>
              </w:rPr>
              <w:t xml:space="preserve"> </w:t>
            </w:r>
            <w:r>
              <w:rPr>
                <w:rFonts w:cs="Segoe UI" w:ascii="Segoe UI" w:hAnsi="Segoe UI"/>
                <w:color w:val="000000"/>
                <w:sz w:val="20"/>
                <w:szCs w:val="20"/>
              </w:rPr>
              <w:t>Jarra; material: vidro; acabamento: liso; cor: incolor; sem tampa; com alça; diâmetro: aproximadamente 10cm; altura: aproximadamente 20cm; capacidade: 1,5l</w:t>
            </w:r>
          </w:p>
        </w:tc>
        <w:tc>
          <w:tcPr>
            <w:tcW w:w="993"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4</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13</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LIXEIRA P/ COPO DESCARTÁVEL</w:t>
            </w:r>
            <w:r>
              <w:rPr>
                <w:rFonts w:cs="Segoe UI" w:ascii="Segoe UI" w:hAnsi="Segoe UI"/>
                <w:color w:val="000000"/>
                <w:sz w:val="20"/>
                <w:szCs w:val="20"/>
              </w:rPr>
              <w:t>; Lixeira porta copos descartáveis com base dupla; Deverá conter compartimento para descarte de copos de água e também café. Capacidade aproximada: 150 copos de água de 200ml e 200 copos de café de 50ml, admitindo-se variação de 10% para mais ou para menos. Composição: poliestireno/pvc; Cor: Branco.</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5</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14</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sz w:val="20"/>
                <w:szCs w:val="20"/>
              </w:rPr>
            </w:pPr>
            <w:r>
              <w:rPr>
                <w:rFonts w:cs="Segoe UI" w:ascii="Segoe UI" w:hAnsi="Segoe UI"/>
                <w:b/>
                <w:bCs/>
                <w:sz w:val="20"/>
                <w:szCs w:val="20"/>
              </w:rPr>
              <w:t>PAPEL TOALHA PCT C/ 2 ROLOS</w:t>
            </w:r>
            <w:r>
              <w:rPr>
                <w:rFonts w:cs="Segoe UI" w:ascii="Segoe UI" w:hAnsi="Segoe UI"/>
                <w:sz w:val="20"/>
                <w:szCs w:val="20"/>
              </w:rPr>
              <w:t>; Papel toalha; tamanho de toalha: 22 cm x 20 cm; cor: branca; 100% de fibras celulose; máxima absorção; embalagem: pacote com 02 rolos; com 60 toalhas cada</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sz w:val="20"/>
                <w:szCs w:val="20"/>
              </w:rPr>
            </w:pPr>
            <w:r>
              <w:rPr>
                <w:rFonts w:cs="Segoe UI" w:ascii="Segoe UI" w:hAnsi="Segoe UI"/>
                <w:sz w:val="20"/>
                <w:szCs w:val="20"/>
              </w:rPr>
              <w:t>PCT</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sz w:val="20"/>
                <w:szCs w:val="20"/>
              </w:rPr>
            </w:pPr>
            <w:r>
              <w:rPr>
                <w:rFonts w:cs="Segoe UI" w:ascii="Segoe UI" w:hAnsi="Segoe UI"/>
                <w:sz w:val="20"/>
                <w:szCs w:val="20"/>
              </w:rPr>
              <w:t>50</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15</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XÍCARA PARA CAFE C/ PIRES</w:t>
            </w:r>
            <w:r>
              <w:rPr>
                <w:rFonts w:cs="Segoe UI" w:ascii="Segoe UI" w:hAnsi="Segoe UI"/>
                <w:color w:val="000000"/>
                <w:sz w:val="20"/>
                <w:szCs w:val="20"/>
              </w:rPr>
              <w:t>; Xícara para café com pires - Capacidade: 80 ml; Material: porcelana; Cor: branca *sem estampa; Marca Referência: GERMER.</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48</w:t>
            </w:r>
          </w:p>
        </w:tc>
      </w:tr>
      <w:tr>
        <w:trPr>
          <w:trHeight w:val="964" w:hRule="atLeast"/>
        </w:trPr>
        <w:tc>
          <w:tcPr>
            <w:tcW w:w="959"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16</w:t>
            </w:r>
          </w:p>
        </w:tc>
        <w:tc>
          <w:tcPr>
            <w:tcW w:w="7090"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rPr>
                <w:rFonts w:ascii="Segoe UI" w:hAnsi="Segoe UI" w:cs="Segoe UI"/>
                <w:color w:val="000000"/>
                <w:sz w:val="20"/>
                <w:szCs w:val="20"/>
              </w:rPr>
            </w:pPr>
            <w:r>
              <w:rPr>
                <w:rFonts w:cs="Segoe UI" w:ascii="Segoe UI" w:hAnsi="Segoe UI"/>
                <w:b/>
                <w:bCs/>
                <w:color w:val="000000"/>
                <w:sz w:val="20"/>
                <w:szCs w:val="20"/>
              </w:rPr>
              <w:t>XÍCARA PARA CHA C/ PIRES</w:t>
            </w:r>
            <w:r>
              <w:rPr>
                <w:rFonts w:cs="Segoe UI" w:ascii="Segoe UI" w:hAnsi="Segoe UI"/>
                <w:color w:val="000000"/>
                <w:sz w:val="20"/>
                <w:szCs w:val="20"/>
              </w:rPr>
              <w:t>; Xícara para chá com pires - Capacidade: 200 ml; Material: porcelana; Cor: branca *sem estampa; Dimensões (diâmetro): 7cm x 8cm de boca, Marca Referência: GERMER</w:t>
            </w:r>
          </w:p>
        </w:tc>
        <w:tc>
          <w:tcPr>
            <w:tcW w:w="993"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UN</w:t>
            </w:r>
          </w:p>
        </w:tc>
        <w:tc>
          <w:tcPr>
            <w:tcW w:w="1104" w:type="dxa"/>
            <w:tcBorders>
              <w:top w:val="single" w:sz="12" w:space="0" w:color="000000"/>
              <w:left w:val="single" w:sz="12" w:space="0" w:color="000000"/>
              <w:bottom w:val="single" w:sz="12" w:space="0" w:color="000000"/>
              <w:right w:val="single" w:sz="12" w:space="0" w:color="000000"/>
            </w:tcBorders>
            <w:vAlign w:val="center"/>
          </w:tcPr>
          <w:p>
            <w:pPr>
              <w:pStyle w:val="Contedodatabela"/>
              <w:spacing w:before="0" w:after="160"/>
              <w:jc w:val="center"/>
              <w:rPr>
                <w:rFonts w:ascii="Segoe UI" w:hAnsi="Segoe UI" w:cs="Segoe UI"/>
                <w:color w:val="000000"/>
                <w:sz w:val="20"/>
                <w:szCs w:val="20"/>
              </w:rPr>
            </w:pPr>
            <w:r>
              <w:rPr>
                <w:rFonts w:cs="Segoe UI" w:ascii="Segoe UI" w:hAnsi="Segoe UI"/>
                <w:color w:val="000000"/>
                <w:sz w:val="20"/>
                <w:szCs w:val="20"/>
              </w:rPr>
              <w:t>24</w:t>
            </w:r>
          </w:p>
        </w:tc>
      </w:tr>
    </w:tbl>
    <w:p>
      <w:pPr>
        <w:pStyle w:val="Normal"/>
        <w:rPr/>
      </w:pPr>
      <w:r>
        <w:rPr/>
      </w:r>
    </w:p>
    <w:p>
      <w:pPr>
        <w:pStyle w:val="Normal"/>
        <w:widowControl/>
        <w:numPr>
          <w:ilvl w:val="0"/>
          <w:numId w:val="0"/>
        </w:numPr>
        <w:spacing w:lineRule="auto" w:line="259" w:before="0" w:after="120"/>
        <w:ind w:hanging="0" w:left="0" w:right="-38"/>
        <w:outlineLvl w:val="0"/>
        <w:rPr>
          <w:rFonts w:ascii="Segoe UI" w:hAnsi="Segoe UI" w:cs="Segoe UI"/>
          <w:sz w:val="20"/>
          <w:szCs w:val="20"/>
        </w:rPr>
      </w:pPr>
      <w:r>
        <w:rPr>
          <w:rFonts w:cs="Segoe UI" w:ascii="Segoe UI" w:hAnsi="Segoe UI"/>
          <w:sz w:val="20"/>
          <w:szCs w:val="20"/>
        </w:rPr>
      </w:r>
    </w:p>
    <w:p>
      <w:pPr>
        <w:pStyle w:val="Normal"/>
        <w:widowControl/>
        <w:numPr>
          <w:ilvl w:val="0"/>
          <w:numId w:val="0"/>
        </w:numPr>
        <w:spacing w:lineRule="auto" w:line="259" w:before="0" w:after="120"/>
        <w:ind w:hanging="0" w:left="0" w:right="-38"/>
        <w:jc w:val="center"/>
        <w:outlineLvl w:val="0"/>
        <w:rPr>
          <w:rFonts w:ascii="Segoe UI" w:hAnsi="Segoe UI" w:eastAsia="Arial" w:cs="Segoe UI"/>
          <w:color w:val="000000"/>
          <w:sz w:val="20"/>
          <w:szCs w:val="20"/>
        </w:rPr>
      </w:pPr>
      <w:r>
        <w:rPr>
          <w:rFonts w:cs="Segoe UI" w:ascii="Segoe UI" w:hAnsi="Segoe UI"/>
          <w:sz w:val="20"/>
          <w:szCs w:val="20"/>
        </w:rPr>
        <w:t>Guarapari/ES, 2</w:t>
      </w:r>
      <w:r>
        <w:rPr>
          <w:rFonts w:cs="Segoe UI" w:ascii="Segoe UI" w:hAnsi="Segoe UI"/>
          <w:sz w:val="20"/>
          <w:szCs w:val="20"/>
        </w:rPr>
        <w:t>1</w:t>
      </w:r>
      <w:r>
        <w:rPr>
          <w:rFonts w:cs="Segoe UI" w:ascii="Segoe UI" w:hAnsi="Segoe UI"/>
          <w:sz w:val="20"/>
          <w:szCs w:val="20"/>
        </w:rPr>
        <w:t xml:space="preserve"> de </w:t>
      </w:r>
      <w:r>
        <w:rPr>
          <w:rFonts w:cs="Segoe UI" w:ascii="Segoe UI" w:hAnsi="Segoe UI"/>
          <w:sz w:val="20"/>
          <w:szCs w:val="20"/>
        </w:rPr>
        <w:t>março</w:t>
      </w:r>
      <w:r>
        <w:rPr>
          <w:rFonts w:cs="Segoe UI" w:ascii="Segoe UI" w:hAnsi="Segoe UI"/>
          <w:sz w:val="20"/>
          <w:szCs w:val="20"/>
        </w:rPr>
        <w:t xml:space="preserve"> de 2025.</w:t>
      </w:r>
    </w:p>
    <w:p>
      <w:pPr>
        <w:pStyle w:val="Normal"/>
        <w:widowControl/>
        <w:numPr>
          <w:ilvl w:val="0"/>
          <w:numId w:val="0"/>
        </w:numPr>
        <w:spacing w:lineRule="auto" w:line="259" w:before="0" w:after="120"/>
        <w:ind w:hanging="0" w:left="0" w:right="-38"/>
        <w:jc w:val="center"/>
        <w:outlineLvl w:val="0"/>
        <w:rPr>
          <w:rFonts w:ascii="Segoe UI" w:hAnsi="Segoe UI" w:eastAsia="Arial" w:cs="Segoe UI"/>
          <w:color w:val="000000"/>
          <w:sz w:val="20"/>
          <w:szCs w:val="20"/>
        </w:rPr>
      </w:pPr>
      <w:r>
        <w:rPr/>
      </w:r>
    </w:p>
    <w:p>
      <w:pPr>
        <w:pStyle w:val="Normal"/>
        <w:spacing w:lineRule="auto" w:line="276"/>
        <w:jc w:val="center"/>
        <w:rPr>
          <w:rFonts w:ascii="Segoe UI" w:hAnsi="Segoe UI" w:cs="Segoe UI"/>
          <w:b/>
          <w:bCs/>
          <w:sz w:val="20"/>
          <w:szCs w:val="20"/>
        </w:rPr>
      </w:pPr>
      <w:r>
        <w:rPr>
          <w:rFonts w:cs="Segoe UI" w:ascii="Segoe UI" w:hAnsi="Segoe UI"/>
          <w:b/>
          <w:bCs/>
          <w:sz w:val="20"/>
          <w:szCs w:val="20"/>
        </w:rPr>
      </w:r>
    </w:p>
    <w:p>
      <w:pPr>
        <w:pStyle w:val="Normal"/>
        <w:spacing w:lineRule="auto" w:line="276"/>
        <w:jc w:val="center"/>
        <w:rPr>
          <w:rFonts w:ascii="Segoe UI" w:hAnsi="Segoe UI" w:cs="Segoe UI"/>
          <w:sz w:val="20"/>
          <w:szCs w:val="20"/>
        </w:rPr>
      </w:pPr>
      <w:r>
        <w:rPr>
          <w:rFonts w:cs="Segoe UI" w:ascii="Segoe UI" w:hAnsi="Segoe UI"/>
          <w:sz w:val="20"/>
          <w:szCs w:val="20"/>
        </w:rPr>
        <w:t xml:space="preserve">                    </w:t>
      </w:r>
    </w:p>
    <w:p>
      <w:pPr>
        <w:pStyle w:val="Normal"/>
        <w:spacing w:lineRule="auto" w:line="276"/>
        <w:jc w:val="center"/>
        <w:rPr>
          <w:rFonts w:ascii="Segoe UI" w:hAnsi="Segoe UI" w:cs="Segoe UI"/>
          <w:b/>
          <w:sz w:val="20"/>
          <w:szCs w:val="20"/>
        </w:rPr>
      </w:pPr>
      <w:r>
        <w:rPr>
          <w:rFonts w:cs="Segoe UI" w:ascii="Segoe UI" w:hAnsi="Segoe UI"/>
          <w:b/>
          <w:sz w:val="20"/>
          <w:szCs w:val="20"/>
        </w:rPr>
        <w:t>TATIANA DOS SANTOS OLIVEIRA</w:t>
      </w:r>
    </w:p>
    <w:p>
      <w:pPr>
        <w:pStyle w:val="Normal"/>
        <w:spacing w:lineRule="auto" w:line="276"/>
        <w:jc w:val="center"/>
        <w:rPr>
          <w:rFonts w:ascii="Segoe UI" w:hAnsi="Segoe UI" w:cs="Segoe UI"/>
          <w:sz w:val="20"/>
          <w:szCs w:val="20"/>
        </w:rPr>
      </w:pPr>
      <w:r>
        <w:rPr>
          <w:rFonts w:cs="Segoe UI" w:ascii="Segoe UI" w:hAnsi="Segoe UI"/>
          <w:sz w:val="20"/>
          <w:szCs w:val="20"/>
        </w:rPr>
        <w:t>Chefe de Divisão de Compras, Contratos e Convênios</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851" w:right="862" w:gutter="0" w:header="0" w:top="1418" w:footer="970" w:bottom="1134"/>
      <w:pgNumType w:fmt="decimal"/>
      <w:formProt w:val="false"/>
      <w:textDirection w:val="lrTb"/>
      <w:docGrid w:type="default" w:linePitch="100" w:charSpace="2867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Georgia">
    <w:charset w:val="00"/>
    <w:family w:val="roman"/>
    <w:pitch w:val="variable"/>
  </w:font>
  <w:font w:name="Segoe UI">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0"/>
      <w:rPr>
        <w:color w:val="000000"/>
        <w:sz w:val="20"/>
        <w:szCs w:val="20"/>
      </w:rPr>
    </w:pPr>
    <w:r>
      <w:rPr>
        <w:color w:val="000000"/>
        <w:sz w:val="20"/>
        <w:szCs w:val="20"/>
      </w:rPr>
      <mc:AlternateContent>
        <mc:Choice Requires="wps">
          <w:drawing>
            <wp:anchor behindDoc="1" distT="2540" distB="2540" distL="2540" distR="2540" simplePos="0" locked="0" layoutInCell="0" allowOverlap="1" relativeHeight="15">
              <wp:simplePos x="0" y="0"/>
              <wp:positionH relativeFrom="margin">
                <wp:posOffset>-71755</wp:posOffset>
              </wp:positionH>
              <wp:positionV relativeFrom="paragraph">
                <wp:posOffset>9961245</wp:posOffset>
              </wp:positionV>
              <wp:extent cx="3034030" cy="1905"/>
              <wp:effectExtent l="2540" t="2540" r="2540" b="2540"/>
              <wp:wrapNone/>
              <wp:docPr id="3" name="Figura1"/>
              <a:graphic xmlns:a="http://schemas.openxmlformats.org/drawingml/2006/main">
                <a:graphicData uri="http://schemas.microsoft.com/office/word/2010/wordprocessingShape">
                  <wps:wsp>
                    <wps:cNvSpPr/>
                    <wps:spPr>
                      <a:xfrm>
                        <a:off x="0" y="0"/>
                        <a:ext cx="3034080" cy="1800"/>
                      </a:xfrm>
                      <a:prstGeom prst="line">
                        <a:avLst/>
                      </a:prstGeom>
                      <a:ln w="5040">
                        <a:solidFill>
                          <a:srgbClr val="000000"/>
                        </a:solidFill>
                        <a:round/>
                      </a:ln>
                    </wps:spPr>
                    <wps:style>
                      <a:lnRef idx="0"/>
                      <a:fillRef idx="0"/>
                      <a:effectRef idx="0"/>
                      <a:fontRef idx="minor"/>
                    </wps:style>
                    <wps:bodyPr/>
                  </wps:wsp>
                </a:graphicData>
              </a:graphic>
            </wp:anchor>
          </w:drawing>
        </mc:Choice>
        <mc:Fallback>
          <w:pict>
            <v:line id="shape_0" from="-5.65pt,784.35pt" to="233.2pt,784.45pt" ID="Figura1" stroked="t" o:allowincell="f" style="position:absolute;mso-position-horizontal-relative:margin">
              <v:stroke color="black" weight="5040" joinstyle="round" endcap="flat"/>
              <v:fill o:detectmouseclick="t" on="false"/>
              <w10:wrap type="none"/>
            </v:line>
          </w:pict>
        </mc:Fallback>
      </mc:AlternateContent>
      <mc:AlternateContent>
        <mc:Choice Requires="wps">
          <w:drawing>
            <wp:anchor behindDoc="1" distT="0" distB="0" distL="0" distR="0" simplePos="0" locked="0" layoutInCell="0" allowOverlap="1" relativeHeight="29">
              <wp:simplePos x="0" y="0"/>
              <wp:positionH relativeFrom="margin">
                <wp:posOffset>-83185</wp:posOffset>
              </wp:positionH>
              <wp:positionV relativeFrom="paragraph">
                <wp:posOffset>9952355</wp:posOffset>
              </wp:positionV>
              <wp:extent cx="2965450" cy="306070"/>
              <wp:effectExtent l="0" t="0" r="0" b="0"/>
              <wp:wrapNone/>
              <wp:docPr id="4" name="Quadro1"/>
              <a:graphic xmlns:a="http://schemas.openxmlformats.org/drawingml/2006/main">
                <a:graphicData uri="http://schemas.microsoft.com/office/word/2010/wordprocessingShape">
                  <wps:wsp>
                    <wps:cNvSpPr/>
                    <wps:spPr>
                      <a:xfrm>
                        <a:off x="0" y="0"/>
                        <a:ext cx="2965320" cy="306000"/>
                      </a:xfrm>
                      <a:prstGeom prst="rect">
                        <a:avLst/>
                      </a:prstGeom>
                      <a:noFill/>
                      <a:ln w="0">
                        <a:noFill/>
                      </a:ln>
                    </wps:spPr>
                    <wps:style>
                      <a:lnRef idx="0"/>
                      <a:fillRef idx="0"/>
                      <a:effectRef idx="0"/>
                      <a:fontRef idx="minor"/>
                    </wps:style>
                    <wps:txbx>
                      <w:txbxContent>
                        <w:p>
                          <w:pPr>
                            <w:pStyle w:val="Contedodoquadro"/>
                            <w:spacing w:lineRule="auto" w:line="259" w:before="16" w:after="0"/>
                            <w:ind w:left="20"/>
                            <w:rPr>
                              <w:rFonts w:ascii="Arial" w:hAnsi="Arial"/>
                              <w:sz w:val="12"/>
                            </w:rPr>
                          </w:pPr>
                          <w:r>
                            <w:rPr>
                              <w:rFonts w:ascii="Arial" w:hAnsi="Arial"/>
                              <w:sz w:val="12"/>
                            </w:rPr>
                          </w:r>
                        </w:p>
                      </w:txbxContent>
                    </wps:txbx>
                    <wps:bodyPr lIns="0" rIns="0" tIns="0" bIns="0" anchor="t">
                      <a:noAutofit/>
                    </wps:bodyPr>
                  </wps:wsp>
                </a:graphicData>
              </a:graphic>
            </wp:anchor>
          </w:drawing>
        </mc:Choice>
        <mc:Fallback>
          <w:pict>
            <v:rect id="shape_0" ID="Quadro1" path="m0,0l-2147483645,0l-2147483645,-2147483646l0,-2147483646xe" fillcolor="white" stroked="f" o:allowincell="f" style="position:absolute;margin-left:-6.55pt;margin-top:783.65pt;width:233.45pt;height:24.05pt;mso-wrap-style:none;v-text-anchor:middle;mso-position-horizontal-relative:margin">
              <v:fill o:detectmouseclick="t" type="solid" color2="black" opacity="0"/>
              <v:stroke color="#3465a4" joinstyle="round" endcap="flat"/>
              <v:textbox>
                <w:txbxContent>
                  <w:p>
                    <w:pPr>
                      <w:pStyle w:val="Contedodoquadro"/>
                      <w:spacing w:lineRule="auto" w:line="259" w:before="16" w:after="0"/>
                      <w:ind w:left="20"/>
                      <w:rPr>
                        <w:rFonts w:ascii="Arial" w:hAnsi="Arial"/>
                        <w:sz w:val="12"/>
                      </w:rPr>
                    </w:pPr>
                    <w:r>
                      <w:rPr>
                        <w:rFonts w:ascii="Arial" w:hAnsi="Arial"/>
                        <w:sz w:val="12"/>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atLeast" w:line="0"/>
      <w:rPr>
        <w:color w:val="000000"/>
        <w:sz w:val="20"/>
        <w:szCs w:val="20"/>
      </w:rPr>
    </w:pPr>
    <w:r>
      <w:rPr>
        <w:color w:val="000000"/>
        <w:sz w:val="20"/>
        <w:szCs w:val="20"/>
      </w:rPr>
      <mc:AlternateContent>
        <mc:Choice Requires="wps">
          <w:drawing>
            <wp:anchor behindDoc="1" distT="2540" distB="2540" distL="2540" distR="2540" simplePos="0" locked="0" layoutInCell="0" allowOverlap="1" relativeHeight="15">
              <wp:simplePos x="0" y="0"/>
              <wp:positionH relativeFrom="margin">
                <wp:posOffset>-71755</wp:posOffset>
              </wp:positionH>
              <wp:positionV relativeFrom="paragraph">
                <wp:posOffset>9961245</wp:posOffset>
              </wp:positionV>
              <wp:extent cx="3034030" cy="1905"/>
              <wp:effectExtent l="2540" t="2540" r="2540" b="2540"/>
              <wp:wrapNone/>
              <wp:docPr id="5" name="Figura1"/>
              <a:graphic xmlns:a="http://schemas.openxmlformats.org/drawingml/2006/main">
                <a:graphicData uri="http://schemas.microsoft.com/office/word/2010/wordprocessingShape">
                  <wps:wsp>
                    <wps:cNvSpPr/>
                    <wps:spPr>
                      <a:xfrm>
                        <a:off x="0" y="0"/>
                        <a:ext cx="3034080" cy="1800"/>
                      </a:xfrm>
                      <a:prstGeom prst="line">
                        <a:avLst/>
                      </a:prstGeom>
                      <a:ln w="5040">
                        <a:solidFill>
                          <a:srgbClr val="000000"/>
                        </a:solidFill>
                        <a:round/>
                      </a:ln>
                    </wps:spPr>
                    <wps:style>
                      <a:lnRef idx="0"/>
                      <a:fillRef idx="0"/>
                      <a:effectRef idx="0"/>
                      <a:fontRef idx="minor"/>
                    </wps:style>
                    <wps:bodyPr/>
                  </wps:wsp>
                </a:graphicData>
              </a:graphic>
            </wp:anchor>
          </w:drawing>
        </mc:Choice>
        <mc:Fallback>
          <w:pict>
            <v:line id="shape_0" from="-5.65pt,784.35pt" to="233.2pt,784.45pt" ID="Figura1" stroked="t" o:allowincell="f" style="position:absolute;mso-position-horizontal-relative:margin">
              <v:stroke color="black" weight="5040" joinstyle="round" endcap="flat"/>
              <v:fill o:detectmouseclick="t" on="false"/>
              <w10:wrap type="none"/>
            </v:line>
          </w:pict>
        </mc:Fallback>
      </mc:AlternateContent>
      <mc:AlternateContent>
        <mc:Choice Requires="wps">
          <w:drawing>
            <wp:anchor behindDoc="1" distT="0" distB="0" distL="0" distR="0" simplePos="0" locked="0" layoutInCell="0" allowOverlap="1" relativeHeight="29">
              <wp:simplePos x="0" y="0"/>
              <wp:positionH relativeFrom="margin">
                <wp:posOffset>-83185</wp:posOffset>
              </wp:positionH>
              <wp:positionV relativeFrom="paragraph">
                <wp:posOffset>9952355</wp:posOffset>
              </wp:positionV>
              <wp:extent cx="2965450" cy="306070"/>
              <wp:effectExtent l="0" t="0" r="0" b="0"/>
              <wp:wrapNone/>
              <wp:docPr id="6" name="Quadro1"/>
              <a:graphic xmlns:a="http://schemas.openxmlformats.org/drawingml/2006/main">
                <a:graphicData uri="http://schemas.microsoft.com/office/word/2010/wordprocessingShape">
                  <wps:wsp>
                    <wps:cNvSpPr/>
                    <wps:spPr>
                      <a:xfrm>
                        <a:off x="0" y="0"/>
                        <a:ext cx="2965320" cy="306000"/>
                      </a:xfrm>
                      <a:prstGeom prst="rect">
                        <a:avLst/>
                      </a:prstGeom>
                      <a:noFill/>
                      <a:ln w="0">
                        <a:noFill/>
                      </a:ln>
                    </wps:spPr>
                    <wps:style>
                      <a:lnRef idx="0"/>
                      <a:fillRef idx="0"/>
                      <a:effectRef idx="0"/>
                      <a:fontRef idx="minor"/>
                    </wps:style>
                    <wps:txbx>
                      <w:txbxContent>
                        <w:p>
                          <w:pPr>
                            <w:pStyle w:val="Contedodoquadro"/>
                            <w:spacing w:lineRule="auto" w:line="259" w:before="16" w:after="0"/>
                            <w:ind w:left="20"/>
                            <w:rPr>
                              <w:rFonts w:ascii="Arial" w:hAnsi="Arial"/>
                              <w:sz w:val="12"/>
                            </w:rPr>
                          </w:pPr>
                          <w:r>
                            <w:rPr>
                              <w:rFonts w:ascii="Arial" w:hAnsi="Arial"/>
                              <w:sz w:val="12"/>
                            </w:rPr>
                          </w:r>
                        </w:p>
                      </w:txbxContent>
                    </wps:txbx>
                    <wps:bodyPr lIns="0" rIns="0" tIns="0" bIns="0" anchor="t">
                      <a:noAutofit/>
                    </wps:bodyPr>
                  </wps:wsp>
                </a:graphicData>
              </a:graphic>
            </wp:anchor>
          </w:drawing>
        </mc:Choice>
        <mc:Fallback>
          <w:pict>
            <v:rect id="shape_0" ID="Quadro1" path="m0,0l-2147483645,0l-2147483645,-2147483646l0,-2147483646xe" fillcolor="white" stroked="f" o:allowincell="f" style="position:absolute;margin-left:-6.55pt;margin-top:783.65pt;width:233.45pt;height:24.05pt;mso-wrap-style:none;v-text-anchor:middle;mso-position-horizontal-relative:margin">
              <v:fill o:detectmouseclick="t" type="solid" color2="black" opacity="0"/>
              <v:stroke color="#3465a4" joinstyle="round" endcap="flat"/>
              <v:textbox>
                <w:txbxContent>
                  <w:p>
                    <w:pPr>
                      <w:pStyle w:val="Contedodoquadro"/>
                      <w:spacing w:lineRule="auto" w:line="259" w:before="16" w:after="0"/>
                      <w:ind w:left="20"/>
                      <w:rPr>
                        <w:rFonts w:ascii="Arial" w:hAnsi="Arial"/>
                        <w:sz w:val="12"/>
                      </w:rPr>
                    </w:pPr>
                    <w:r>
                      <w:rPr>
                        <w:rFonts w:ascii="Arial" w:hAnsi="Arial"/>
                        <w:sz w:val="12"/>
                      </w:rPr>
                    </w:r>
                  </w:p>
                </w:txbxContent>
              </v:textbox>
              <w10:wrap type="non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ind w:hanging="142" w:left="-1134"/>
      <w:rPr>
        <w:color w:val="000000"/>
      </w:rPr>
    </w:pPr>
    <w:r>
      <w:rPr>
        <w:color w:val="000000"/>
      </w:rPr>
    </w:r>
  </w:p>
  <w:p>
    <w:pPr>
      <w:pStyle w:val="Normal"/>
      <w:jc w:val="center"/>
      <w:rPr/>
    </w:pPr>
    <w:r>
      <w:rPr/>
      <w:drawing>
        <wp:anchor behindDoc="1" distT="0" distB="9525" distL="0" distR="8890" simplePos="0" locked="0" layoutInCell="0" allowOverlap="1" relativeHeight="8">
          <wp:simplePos x="0" y="0"/>
          <wp:positionH relativeFrom="margin">
            <wp:posOffset>-635</wp:posOffset>
          </wp:positionH>
          <wp:positionV relativeFrom="paragraph">
            <wp:posOffset>12065</wp:posOffset>
          </wp:positionV>
          <wp:extent cx="568960" cy="592455"/>
          <wp:effectExtent l="0" t="0" r="0" b="0"/>
          <wp:wrapSquare wrapText="bothSides"/>
          <wp:docPr id="1" name="Imagem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35" descr=""/>
                  <pic:cNvPicPr>
                    <a:picLocks noChangeAspect="1" noChangeArrowheads="1"/>
                  </pic:cNvPicPr>
                </pic:nvPicPr>
                <pic:blipFill>
                  <a:blip r:embed="rId1"/>
                  <a:srcRect l="-189" t="-148" r="-189" b="-148"/>
                  <a:stretch>
                    <a:fillRect/>
                  </a:stretch>
                </pic:blipFill>
                <pic:spPr bwMode="auto">
                  <a:xfrm>
                    <a:off x="0" y="0"/>
                    <a:ext cx="568960" cy="592455"/>
                  </a:xfrm>
                  <a:prstGeom prst="rect">
                    <a:avLst/>
                  </a:prstGeom>
                  <a:noFill/>
                </pic:spPr>
              </pic:pic>
            </a:graphicData>
          </a:graphic>
        </wp:anchor>
      </w:drawing>
    </w:r>
  </w:p>
  <w:p>
    <w:pPr>
      <w:pStyle w:val="Normal"/>
      <w:widowControl/>
      <w:jc w:val="center"/>
      <w:rPr>
        <w:rFonts w:ascii="Segoe UI" w:hAnsi="Segoe UI" w:cs="Segoe UI"/>
        <w:b/>
      </w:rPr>
    </w:pPr>
    <w:r>
      <w:rPr>
        <w:rFonts w:cs="Segoe UI" w:ascii="Segoe UI" w:hAnsi="Segoe UI"/>
        <w:b/>
      </w:rPr>
      <w:t>ESTADO DO ESPÍRITO SANTO</w:t>
    </w:r>
  </w:p>
  <w:p>
    <w:pPr>
      <w:pStyle w:val="Normal"/>
      <w:pBdr>
        <w:bottom w:val="single" w:sz="4" w:space="1" w:color="000000"/>
      </w:pBdr>
      <w:jc w:val="center"/>
      <w:rPr>
        <w:color w:val="000000"/>
      </w:rPr>
    </w:pPr>
    <w:r>
      <w:rPr>
        <w:rFonts w:cs="Segoe UI" w:ascii="Segoe UI" w:hAnsi="Segoe UI"/>
        <w:b/>
        <w:bCs/>
        <w:sz w:val="32"/>
        <w:szCs w:val="32"/>
      </w:rPr>
      <w:t>CÂMARA MUNICIPAL DE GUARAPARI</w:t>
    </w:r>
  </w:p>
  <w:p>
    <w:pPr>
      <w:pStyle w:val="Normal"/>
      <w:tabs>
        <w:tab w:val="clear" w:pos="720"/>
        <w:tab w:val="center" w:pos="4252" w:leader="none"/>
        <w:tab w:val="right" w:pos="8504" w:leader="none"/>
      </w:tabs>
      <w:ind w:hanging="993"/>
      <w:rPr>
        <w:color w:val="000000"/>
      </w:rPr>
    </w:pPr>
    <w:r>
      <w:rPr>
        <w:color w:val="00000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4252" w:leader="none"/>
        <w:tab w:val="right" w:pos="8504" w:leader="none"/>
      </w:tabs>
      <w:ind w:hanging="142" w:left="-1134"/>
      <w:rPr>
        <w:color w:val="000000"/>
      </w:rPr>
    </w:pPr>
    <w:r>
      <w:rPr>
        <w:color w:val="000000"/>
      </w:rPr>
    </w:r>
  </w:p>
  <w:p>
    <w:pPr>
      <w:pStyle w:val="Normal"/>
      <w:jc w:val="center"/>
      <w:rPr/>
    </w:pPr>
    <w:r>
      <w:rPr/>
      <w:drawing>
        <wp:anchor behindDoc="1" distT="0" distB="9525" distL="0" distR="8890" simplePos="0" locked="0" layoutInCell="0" allowOverlap="1" relativeHeight="8">
          <wp:simplePos x="0" y="0"/>
          <wp:positionH relativeFrom="margin">
            <wp:posOffset>-635</wp:posOffset>
          </wp:positionH>
          <wp:positionV relativeFrom="paragraph">
            <wp:posOffset>12065</wp:posOffset>
          </wp:positionV>
          <wp:extent cx="568960" cy="592455"/>
          <wp:effectExtent l="0" t="0" r="0" b="0"/>
          <wp:wrapSquare wrapText="bothSides"/>
          <wp:docPr id="2" name="Imagem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35" descr=""/>
                  <pic:cNvPicPr>
                    <a:picLocks noChangeAspect="1" noChangeArrowheads="1"/>
                  </pic:cNvPicPr>
                </pic:nvPicPr>
                <pic:blipFill>
                  <a:blip r:embed="rId1"/>
                  <a:srcRect l="-189" t="-148" r="-189" b="-148"/>
                  <a:stretch>
                    <a:fillRect/>
                  </a:stretch>
                </pic:blipFill>
                <pic:spPr bwMode="auto">
                  <a:xfrm>
                    <a:off x="0" y="0"/>
                    <a:ext cx="568960" cy="592455"/>
                  </a:xfrm>
                  <a:prstGeom prst="rect">
                    <a:avLst/>
                  </a:prstGeom>
                  <a:noFill/>
                </pic:spPr>
              </pic:pic>
            </a:graphicData>
          </a:graphic>
        </wp:anchor>
      </w:drawing>
    </w:r>
  </w:p>
  <w:p>
    <w:pPr>
      <w:pStyle w:val="Normal"/>
      <w:widowControl/>
      <w:jc w:val="center"/>
      <w:rPr>
        <w:rFonts w:ascii="Segoe UI" w:hAnsi="Segoe UI" w:cs="Segoe UI"/>
        <w:b/>
      </w:rPr>
    </w:pPr>
    <w:r>
      <w:rPr>
        <w:rFonts w:cs="Segoe UI" w:ascii="Segoe UI" w:hAnsi="Segoe UI"/>
        <w:b/>
      </w:rPr>
      <w:t>ESTADO DO ESPÍRITO SANTO</w:t>
    </w:r>
  </w:p>
  <w:p>
    <w:pPr>
      <w:pStyle w:val="Normal"/>
      <w:pBdr>
        <w:bottom w:val="single" w:sz="4" w:space="1" w:color="000000"/>
      </w:pBdr>
      <w:jc w:val="center"/>
      <w:rPr>
        <w:color w:val="000000"/>
      </w:rPr>
    </w:pPr>
    <w:r>
      <w:rPr>
        <w:rFonts w:cs="Segoe UI" w:ascii="Segoe UI" w:hAnsi="Segoe UI"/>
        <w:b/>
        <w:bCs/>
        <w:sz w:val="32"/>
        <w:szCs w:val="32"/>
      </w:rPr>
      <w:t>CÂMARA MUNICIPAL DE GUARAPARI</w:t>
    </w:r>
  </w:p>
  <w:p>
    <w:pPr>
      <w:pStyle w:val="Normal"/>
      <w:tabs>
        <w:tab w:val="clear" w:pos="720"/>
        <w:tab w:val="center" w:pos="4252" w:leader="none"/>
        <w:tab w:val="right" w:pos="8504" w:leader="none"/>
      </w:tabs>
      <w:ind w:hanging="993"/>
      <w:rPr>
        <w:color w:val="000000"/>
      </w:rPr>
    </w:pPr>
    <w:r>
      <w:rPr>
        <w:color w:val="000000"/>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90" w:hanging="360"/>
      </w:pPr>
      <w:rPr>
        <w:sz w:val="20"/>
        <w:i w:val="false"/>
        <w:b/>
        <w:szCs w:val="20"/>
        <w:rFonts w:ascii="Segoe UI" w:hAnsi="Segoe UI" w:eastAsia="Times New Roman" w:cs="Segoe UI"/>
      </w:rPr>
    </w:lvl>
    <w:lvl w:ilvl="1">
      <w:start w:val="1"/>
      <w:numFmt w:val="decimal"/>
      <w:lvlText w:val="%1.%2."/>
      <w:lvlJc w:val="left"/>
      <w:pPr>
        <w:tabs>
          <w:tab w:val="num" w:pos="0"/>
        </w:tabs>
        <w:ind w:left="850" w:hanging="435"/>
      </w:pPr>
      <w:rPr>
        <w:sz w:val="20"/>
        <w:i w:val="false"/>
        <w:b w:val="false"/>
        <w:szCs w:val="20"/>
        <w:rFonts w:ascii="Segoe UI" w:hAnsi="Segoe UI" w:eastAsia="Times New Roman" w:cs="Segoe UI"/>
      </w:rPr>
    </w:lvl>
    <w:lvl w:ilvl="2">
      <w:start w:val="1"/>
      <w:numFmt w:val="decimal"/>
      <w:lvlText w:val="%1.%2.%3."/>
      <w:lvlJc w:val="left"/>
      <w:pPr>
        <w:tabs>
          <w:tab w:val="num" w:pos="0"/>
        </w:tabs>
        <w:ind w:left="1270" w:hanging="720"/>
      </w:pPr>
      <w:rPr>
        <w:sz w:val="20"/>
        <w:i w:val="false"/>
        <w:b w:val="false"/>
        <w:szCs w:val="20"/>
        <w:rFonts w:ascii="Segoe UI" w:hAnsi="Segoe UI" w:eastAsia="Times New Roman" w:cs="Segoe UI"/>
      </w:rPr>
    </w:lvl>
    <w:lvl w:ilvl="3">
      <w:start w:val="0"/>
      <w:numFmt w:val="bullet"/>
      <w:lvlText w:val=""/>
      <w:lvlJc w:val="left"/>
      <w:pPr>
        <w:tabs>
          <w:tab w:val="num" w:pos="0"/>
        </w:tabs>
        <w:ind w:left="840" w:hanging="720"/>
      </w:pPr>
      <w:rPr>
        <w:rFonts w:ascii="Symbol" w:hAnsi="Symbol" w:cs="Symbol" w:hint="default"/>
      </w:rPr>
    </w:lvl>
    <w:lvl w:ilvl="4">
      <w:start w:val="0"/>
      <w:numFmt w:val="bullet"/>
      <w:lvlText w:val=""/>
      <w:lvlJc w:val="left"/>
      <w:pPr>
        <w:tabs>
          <w:tab w:val="num" w:pos="0"/>
        </w:tabs>
        <w:ind w:left="860" w:hanging="720"/>
      </w:pPr>
      <w:rPr>
        <w:rFonts w:ascii="Symbol" w:hAnsi="Symbol" w:cs="Symbol" w:hint="default"/>
      </w:rPr>
    </w:lvl>
    <w:lvl w:ilvl="5">
      <w:start w:val="0"/>
      <w:numFmt w:val="bullet"/>
      <w:lvlText w:val=""/>
      <w:lvlJc w:val="left"/>
      <w:pPr>
        <w:tabs>
          <w:tab w:val="num" w:pos="0"/>
        </w:tabs>
        <w:ind w:left="1120" w:hanging="720"/>
      </w:pPr>
      <w:rPr>
        <w:rFonts w:ascii="Symbol" w:hAnsi="Symbol" w:cs="Symbol" w:hint="default"/>
      </w:rPr>
    </w:lvl>
    <w:lvl w:ilvl="6">
      <w:start w:val="0"/>
      <w:numFmt w:val="bullet"/>
      <w:lvlText w:val=""/>
      <w:lvlJc w:val="left"/>
      <w:pPr>
        <w:tabs>
          <w:tab w:val="num" w:pos="0"/>
        </w:tabs>
        <w:ind w:left="1280" w:hanging="720"/>
      </w:pPr>
      <w:rPr>
        <w:rFonts w:ascii="Symbol" w:hAnsi="Symbol" w:cs="Symbol" w:hint="default"/>
      </w:rPr>
    </w:lvl>
    <w:lvl w:ilvl="7">
      <w:start w:val="0"/>
      <w:numFmt w:val="bullet"/>
      <w:lvlText w:val=""/>
      <w:lvlJc w:val="left"/>
      <w:pPr>
        <w:tabs>
          <w:tab w:val="num" w:pos="0"/>
        </w:tabs>
        <w:ind w:left="3340" w:hanging="720"/>
      </w:pPr>
      <w:rPr>
        <w:rFonts w:ascii="Symbol" w:hAnsi="Symbol" w:cs="Symbol" w:hint="default"/>
      </w:rPr>
    </w:lvl>
    <w:lvl w:ilvl="8">
      <w:start w:val="0"/>
      <w:numFmt w:val="bullet"/>
      <w:lvlText w:val=""/>
      <w:lvlJc w:val="left"/>
      <w:pPr>
        <w:tabs>
          <w:tab w:val="num" w:pos="0"/>
        </w:tabs>
        <w:ind w:left="5400" w:hanging="720"/>
      </w:pPr>
      <w:rPr>
        <w:rFonts w:ascii="Symbol" w:hAnsi="Symbol" w:cs="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720"/>
  <w:autoHyphenation w:val="true"/>
  <w:hyphenationZone w:val="425"/>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2"/>
        <w:szCs w:val="22"/>
        <w:lang w:val="en-US" w:eastAsia="pt-BR"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val="false"/>
      <w:suppressAutoHyphens w:val="true"/>
      <w:bidi w:val="0"/>
      <w:spacing w:before="0" w:after="0"/>
      <w:jc w:val="left"/>
    </w:pPr>
    <w:rPr>
      <w:rFonts w:ascii="Times New Roman" w:hAnsi="Times New Roman" w:eastAsia="Times New Roman" w:cs="Times New Roman"/>
      <w:color w:val="auto"/>
      <w:kern w:val="0"/>
      <w:sz w:val="22"/>
      <w:szCs w:val="22"/>
      <w:lang w:val="pt-BR" w:eastAsia="pt-BR" w:bidi="ar-SA"/>
    </w:rPr>
  </w:style>
  <w:style w:type="paragraph" w:styleId="Heading1">
    <w:name w:val="heading 1"/>
    <w:basedOn w:val="Normal"/>
    <w:next w:val="Normal"/>
    <w:uiPriority w:val="9"/>
    <w:qFormat/>
    <w:pPr>
      <w:ind w:hanging="360" w:left="490"/>
      <w:outlineLvl w:val="0"/>
    </w:pPr>
    <w:rPr>
      <w:b/>
      <w:sz w:val="24"/>
      <w:szCs w:val="24"/>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pPr>
      <w:keepNext w:val="true"/>
      <w:keepLines/>
      <w:spacing w:before="220" w:after="40"/>
      <w:outlineLvl w:val="4"/>
    </w:pPr>
    <w:rPr>
      <w:b/>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eb100d"/>
    <w:rPr>
      <w:lang w:val="pt-BR"/>
    </w:rPr>
  </w:style>
  <w:style w:type="character" w:styleId="RodapChar" w:customStyle="1">
    <w:name w:val="Rodapé Char"/>
    <w:basedOn w:val="DefaultParagraphFont"/>
    <w:uiPriority w:val="99"/>
    <w:qFormat/>
    <w:rsid w:val="00eb100d"/>
    <w:rPr>
      <w:lang w:val="pt-BR"/>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Lucida Sans"/>
      <w:sz w:val="28"/>
      <w:szCs w:val="28"/>
    </w:rPr>
  </w:style>
  <w:style w:type="paragraph" w:styleId="ndiceuser">
    <w:name w:val="Índice (user)"/>
    <w:basedOn w:val="Normal"/>
    <w:qFormat/>
    <w:pPr>
      <w:suppressLineNumbers/>
    </w:pPr>
    <w:rPr>
      <w:rFonts w:cs="Lucida Sans"/>
    </w:rPr>
  </w:style>
  <w:style w:type="paragraph" w:styleId="Title">
    <w:name w:val="Title"/>
    <w:basedOn w:val="Normal"/>
    <w:next w:val="BodyText"/>
    <w:uiPriority w:val="10"/>
    <w:qFormat/>
    <w:pPr>
      <w:keepNext w:val="true"/>
      <w:keepLines/>
      <w:spacing w:before="480" w:after="120"/>
    </w:pPr>
    <w:rPr>
      <w:b/>
      <w:sz w:val="72"/>
      <w:szCs w:val="72"/>
    </w:rPr>
  </w:style>
  <w:style w:type="paragraph" w:styleId="Subtitle">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CabealhoeRodap" w:customStyle="1">
    <w:name w:val="Cabeçalho e Rodapé"/>
    <w:basedOn w:val="Normal"/>
    <w:qFormat/>
    <w:pPr/>
    <w:rPr/>
  </w:style>
  <w:style w:type="paragraph" w:styleId="Cabealhoerodap1" w:customStyle="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Header">
    <w:name w:val="header"/>
    <w:basedOn w:val="Normal"/>
    <w:link w:val="CabealhoChar"/>
    <w:uiPriority w:val="99"/>
    <w:unhideWhenUsed/>
    <w:rsid w:val="00eb100d"/>
    <w:pPr>
      <w:tabs>
        <w:tab w:val="clear" w:pos="720"/>
        <w:tab w:val="center" w:pos="4252" w:leader="none"/>
        <w:tab w:val="right" w:pos="8504" w:leader="none"/>
      </w:tabs>
    </w:pPr>
    <w:rPr/>
  </w:style>
  <w:style w:type="paragraph" w:styleId="Footer">
    <w:name w:val="footer"/>
    <w:basedOn w:val="Normal"/>
    <w:link w:val="RodapChar"/>
    <w:uiPriority w:val="99"/>
    <w:unhideWhenUsed/>
    <w:rsid w:val="00eb100d"/>
    <w:pPr>
      <w:tabs>
        <w:tab w:val="clear" w:pos="720"/>
        <w:tab w:val="center" w:pos="4252" w:leader="none"/>
        <w:tab w:val="right" w:pos="8504" w:leader="none"/>
      </w:tabs>
    </w:pPr>
    <w:rPr/>
  </w:style>
  <w:style w:type="paragraph" w:styleId="ListParagraph">
    <w:name w:val="List Paragraph"/>
    <w:basedOn w:val="Normal"/>
    <w:uiPriority w:val="34"/>
    <w:qFormat/>
    <w:pPr>
      <w:ind w:left="720"/>
    </w:pPr>
    <w:rPr/>
  </w:style>
  <w:style w:type="paragraph" w:styleId="Contedodoquadro" w:customStyle="1">
    <w:name w:val="Conteúdo do quadro"/>
    <w:basedOn w:val="Normal"/>
    <w:qFormat/>
    <w:pPr/>
    <w:rPr/>
  </w:style>
  <w:style w:type="paragraph" w:styleId="Contedodatabela" w:customStyle="1">
    <w:name w:val="Conteúdo da tabela"/>
    <w:basedOn w:val="Normal"/>
    <w:qFormat/>
    <w:pPr>
      <w:suppressLineNumbers/>
    </w:pPr>
    <w:rPr/>
  </w:style>
  <w:style w:type="paragraph" w:styleId="Ttulodetabela" w:customStyle="1">
    <w:name w:val="Título de tabela"/>
    <w:basedOn w:val="Contedodatabela"/>
    <w:qFormat/>
    <w:pPr>
      <w:jc w:val="center"/>
    </w:pPr>
    <w:rPr>
      <w:b/>
      <w:bCs/>
    </w:rPr>
  </w:style>
  <w:style w:type="paragraph" w:styleId="Contedodoquadrouser">
    <w:name w:val="Conteúdo do quadro (user)"/>
    <w:basedOn w:val="Normal"/>
    <w:qFormat/>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CC6D6-0428-48E2-BDFE-65E6E8DC4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Application>LibreOffice/24.8.5.2$Windows_X86_64 LibreOffice_project/fddf2685c70b461e7832239a0162a77216259f22</Application>
  <AppVersion>15.0000</AppVersion>
  <Pages>7</Pages>
  <Words>3001</Words>
  <Characters>17022</Characters>
  <CharactersWithSpaces>19887</CharactersWithSpaces>
  <Paragraphs>169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2024-02-29T14:28:00Z</dcterms:created>
  <dc:creator>User</dc:creator>
  <dc:description/>
  <dc:language>pt-BR</dc:language>
  <cp:lastModifiedBy/>
  <cp:lastPrinted>2025-02-27T13:10:55Z</cp:lastPrinted>
  <dcterms:modified xsi:type="dcterms:W3CDTF">2025-03-25T13:11:56Z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